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4804B" w14:textId="05B6BD51" w:rsidR="00CB0A98" w:rsidRDefault="00CB0A98" w:rsidP="00CB0A98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86A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intertextualidade</w:t>
      </w:r>
      <w:r w:rsidRPr="00186A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transferida da literatura para a música: caminhos adotados por diversos autores</w:t>
      </w:r>
    </w:p>
    <w:p w14:paraId="766A8A1F" w14:textId="77777777" w:rsidR="00CB0A98" w:rsidRPr="00186A9F" w:rsidRDefault="00CB0A98" w:rsidP="00CB0A98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B3E82CD" w14:textId="77777777" w:rsidR="00514C3C" w:rsidRPr="00200969" w:rsidRDefault="00514C3C" w:rsidP="00514C3C">
      <w:pPr>
        <w:jc w:val="center"/>
        <w:rPr>
          <w:color w:val="000000" w:themeColor="text1"/>
        </w:rPr>
      </w:pPr>
      <w:r w:rsidRPr="00200969">
        <w:rPr>
          <w:noProof/>
          <w:color w:val="000000" w:themeColor="text1"/>
        </w:rPr>
        <w:drawing>
          <wp:inline distT="0" distB="0" distL="0" distR="0" wp14:anchorId="1769777D" wp14:editId="4419AF5B">
            <wp:extent cx="3390148" cy="1997766"/>
            <wp:effectExtent l="0" t="0" r="1270" b="0"/>
            <wp:docPr id="82" name="Imagem 82" descr="Uma imagem contendo Interface gráfica do usuári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m 82" descr="Uma imagem contendo Interface gráfica do usuário&#10;&#10;Descrição gerad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4079" cy="2023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2CB10A" w14:textId="77777777" w:rsidR="00514C3C" w:rsidRDefault="00514C3C" w:rsidP="00514C3C">
      <w:pPr>
        <w:jc w:val="center"/>
        <w:rPr>
          <w:b/>
          <w:bCs/>
          <w:color w:val="000000" w:themeColor="text1"/>
          <w:sz w:val="20"/>
        </w:rPr>
      </w:pPr>
    </w:p>
    <w:p w14:paraId="059099D0" w14:textId="6C36DAB0" w:rsidR="00514C3C" w:rsidRDefault="00514C3C" w:rsidP="00514C3C">
      <w:pPr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514C3C">
        <w:rPr>
          <w:rFonts w:ascii="Times New Roman" w:hAnsi="Times New Roman" w:cs="Times New Roman"/>
          <w:b/>
          <w:bCs/>
          <w:color w:val="000000" w:themeColor="text1"/>
          <w:sz w:val="20"/>
        </w:rPr>
        <w:t xml:space="preserve">Figura </w:t>
      </w:r>
      <w:r>
        <w:rPr>
          <w:rFonts w:ascii="Times New Roman" w:hAnsi="Times New Roman" w:cs="Times New Roman"/>
          <w:b/>
          <w:bCs/>
          <w:color w:val="000000" w:themeColor="text1"/>
          <w:sz w:val="20"/>
        </w:rPr>
        <w:t>1</w:t>
      </w:r>
      <w:r w:rsidRPr="00514C3C">
        <w:rPr>
          <w:rFonts w:ascii="Times New Roman" w:hAnsi="Times New Roman" w:cs="Times New Roman"/>
          <w:b/>
          <w:bCs/>
          <w:color w:val="000000" w:themeColor="text1"/>
          <w:sz w:val="20"/>
        </w:rPr>
        <w:t>:</w:t>
      </w:r>
      <w:r w:rsidRPr="00514C3C">
        <w:rPr>
          <w:rFonts w:ascii="Times New Roman" w:hAnsi="Times New Roman" w:cs="Times New Roman"/>
          <w:color w:val="000000" w:themeColor="text1"/>
          <w:sz w:val="20"/>
        </w:rPr>
        <w:t xml:space="preserve"> Um texto em análise (</w:t>
      </w:r>
      <w:proofErr w:type="spellStart"/>
      <w:proofErr w:type="gramStart"/>
      <w:r w:rsidRPr="00514C3C">
        <w:rPr>
          <w:rFonts w:ascii="Times New Roman" w:hAnsi="Times New Roman" w:cs="Times New Roman"/>
          <w:color w:val="000000" w:themeColor="text1"/>
          <w:sz w:val="20"/>
        </w:rPr>
        <w:t>T</w:t>
      </w:r>
      <w:r w:rsidRPr="00514C3C">
        <w:rPr>
          <w:rFonts w:ascii="Times New Roman" w:hAnsi="Times New Roman" w:cs="Times New Roman"/>
          <w:color w:val="000000" w:themeColor="text1"/>
          <w:sz w:val="20"/>
          <w:vertAlign w:val="subscript"/>
        </w:rPr>
        <w:t>a</w:t>
      </w:r>
      <w:proofErr w:type="spellEnd"/>
      <w:proofErr w:type="gramEnd"/>
      <w:r w:rsidRPr="00514C3C">
        <w:rPr>
          <w:rFonts w:ascii="Times New Roman" w:hAnsi="Times New Roman" w:cs="Times New Roman"/>
          <w:color w:val="000000" w:themeColor="text1"/>
          <w:sz w:val="20"/>
        </w:rPr>
        <w:t>) dentro da rede de textos, relacionando-se com outros. As relações focam no seu gênero (contorno circular roxo) ou em um determinado conteúdo desmembrável (pontos coloridos pequenos)</w:t>
      </w:r>
    </w:p>
    <w:p w14:paraId="511984F4" w14:textId="77777777" w:rsidR="00514C3C" w:rsidRDefault="00514C3C" w:rsidP="00514C3C">
      <w:pPr>
        <w:jc w:val="center"/>
        <w:rPr>
          <w:rFonts w:ascii="Times New Roman" w:hAnsi="Times New Roman" w:cs="Times New Roman"/>
          <w:color w:val="000000" w:themeColor="text1"/>
          <w:sz w:val="20"/>
        </w:rPr>
      </w:pPr>
    </w:p>
    <w:p w14:paraId="3C612B6F" w14:textId="77777777" w:rsidR="00514C3C" w:rsidRPr="0002660C" w:rsidRDefault="00514C3C" w:rsidP="00514C3C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2660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Quadro 1</w:t>
      </w:r>
      <w:r w:rsidRPr="0002660C">
        <w:rPr>
          <w:rFonts w:ascii="Times New Roman" w:hAnsi="Times New Roman" w:cs="Times New Roman"/>
          <w:color w:val="000000" w:themeColor="text1"/>
          <w:sz w:val="20"/>
          <w:szCs w:val="20"/>
        </w:rPr>
        <w:t>: A terminologia de Genette e de Mesquita e suas equivalências</w:t>
      </w:r>
    </w:p>
    <w:tbl>
      <w:tblPr>
        <w:tblStyle w:val="TabelaSimples4"/>
        <w:tblW w:w="0" w:type="auto"/>
        <w:tblLook w:val="04A0" w:firstRow="1" w:lastRow="0" w:firstColumn="1" w:lastColumn="0" w:noHBand="0" w:noVBand="1"/>
      </w:tblPr>
      <w:tblGrid>
        <w:gridCol w:w="2812"/>
        <w:gridCol w:w="2863"/>
        <w:gridCol w:w="2829"/>
      </w:tblGrid>
      <w:tr w:rsidR="00514C3C" w:rsidRPr="0002660C" w14:paraId="695432B8" w14:textId="77777777" w:rsidTr="000320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bottom w:val="single" w:sz="4" w:space="0" w:color="auto"/>
            </w:tcBorders>
          </w:tcPr>
          <w:p w14:paraId="76CC0F2C" w14:textId="77777777" w:rsidR="00514C3C" w:rsidRPr="0002660C" w:rsidRDefault="00514C3C" w:rsidP="000320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266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Terminologia Genette</w:t>
            </w:r>
          </w:p>
        </w:tc>
        <w:tc>
          <w:tcPr>
            <w:tcW w:w="3020" w:type="dxa"/>
            <w:tcBorders>
              <w:bottom w:val="single" w:sz="4" w:space="0" w:color="auto"/>
            </w:tcBorders>
          </w:tcPr>
          <w:p w14:paraId="0D6F00A0" w14:textId="77777777" w:rsidR="00514C3C" w:rsidRPr="0002660C" w:rsidRDefault="00514C3C" w:rsidP="000320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266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Operação/Atuação</w:t>
            </w: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7677B47E" w14:textId="77777777" w:rsidR="00514C3C" w:rsidRPr="0002660C" w:rsidRDefault="00514C3C" w:rsidP="000320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266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Terminologia Mesquita</w:t>
            </w:r>
          </w:p>
        </w:tc>
      </w:tr>
      <w:tr w:rsidR="00514C3C" w:rsidRPr="0002660C" w14:paraId="11A97060" w14:textId="77777777" w:rsidTr="000320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top w:val="single" w:sz="4" w:space="0" w:color="auto"/>
            </w:tcBorders>
          </w:tcPr>
          <w:p w14:paraId="5E2A9AE1" w14:textId="77777777" w:rsidR="00514C3C" w:rsidRPr="0002660C" w:rsidRDefault="00514C3C" w:rsidP="000320C5">
            <w:pPr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02660C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  <w:t>Transformação</w:t>
            </w: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23848202" w14:textId="77777777" w:rsidR="00514C3C" w:rsidRPr="0002660C" w:rsidRDefault="00514C3C" w:rsidP="000320C5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266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Modificação no texto/ material/ conteúdo</w:t>
            </w: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2D7C3928" w14:textId="77777777" w:rsidR="00514C3C" w:rsidRPr="0002660C" w:rsidRDefault="00514C3C" w:rsidP="000320C5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266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Presença</w:t>
            </w:r>
          </w:p>
        </w:tc>
      </w:tr>
      <w:tr w:rsidR="00514C3C" w:rsidRPr="0002660C" w14:paraId="01DC5E76" w14:textId="77777777" w:rsidTr="000320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bottom w:val="single" w:sz="4" w:space="0" w:color="auto"/>
            </w:tcBorders>
          </w:tcPr>
          <w:p w14:paraId="2C48D93C" w14:textId="77777777" w:rsidR="00514C3C" w:rsidRPr="0002660C" w:rsidRDefault="00514C3C" w:rsidP="000320C5">
            <w:pPr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02660C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  <w:t>Gradação entre modificado e mantido</w:t>
            </w:r>
          </w:p>
        </w:tc>
        <w:tc>
          <w:tcPr>
            <w:tcW w:w="3020" w:type="dxa"/>
            <w:tcBorders>
              <w:bottom w:val="single" w:sz="4" w:space="0" w:color="auto"/>
            </w:tcBorders>
          </w:tcPr>
          <w:p w14:paraId="01C29BC8" w14:textId="77777777" w:rsidR="00514C3C" w:rsidRPr="0002660C" w:rsidRDefault="00514C3C" w:rsidP="000320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21DEF7FD" w14:textId="77777777" w:rsidR="00514C3C" w:rsidRPr="0002660C" w:rsidRDefault="00514C3C" w:rsidP="000320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266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Gradação entre implícito e explícito</w:t>
            </w:r>
          </w:p>
        </w:tc>
      </w:tr>
      <w:tr w:rsidR="00514C3C" w:rsidRPr="0002660C" w14:paraId="638317F5" w14:textId="77777777" w:rsidTr="000320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top w:val="single" w:sz="4" w:space="0" w:color="auto"/>
            </w:tcBorders>
          </w:tcPr>
          <w:p w14:paraId="7E208C29" w14:textId="77777777" w:rsidR="00514C3C" w:rsidRPr="0002660C" w:rsidRDefault="00514C3C" w:rsidP="000320C5">
            <w:pPr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02660C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  <w:t>Imitação</w:t>
            </w: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41AE030C" w14:textId="77777777" w:rsidR="00514C3C" w:rsidRPr="0002660C" w:rsidRDefault="00514C3C" w:rsidP="000320C5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266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Modificação do contexto/estilo</w:t>
            </w: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4BB7C165" w14:textId="77777777" w:rsidR="00514C3C" w:rsidRPr="0002660C" w:rsidRDefault="00514C3C" w:rsidP="000320C5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266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Intencionalidade</w:t>
            </w:r>
          </w:p>
        </w:tc>
      </w:tr>
      <w:tr w:rsidR="00514C3C" w:rsidRPr="0002660C" w14:paraId="477033FB" w14:textId="77777777" w:rsidTr="000320C5">
        <w:trPr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73AEACB" w14:textId="77777777" w:rsidR="00514C3C" w:rsidRPr="0002660C" w:rsidRDefault="00514C3C" w:rsidP="000320C5">
            <w:pPr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02660C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  <w:t>Gradação entre modificado e mantido</w:t>
            </w:r>
          </w:p>
        </w:tc>
        <w:tc>
          <w:tcPr>
            <w:tcW w:w="3020" w:type="dxa"/>
          </w:tcPr>
          <w:p w14:paraId="6A4E50F3" w14:textId="77777777" w:rsidR="00514C3C" w:rsidRPr="0002660C" w:rsidRDefault="00514C3C" w:rsidP="000320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98466FF" w14:textId="77777777" w:rsidR="00514C3C" w:rsidRPr="0002660C" w:rsidRDefault="00514C3C" w:rsidP="000320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266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Gradação entre subvertido e reafirmado</w:t>
            </w:r>
          </w:p>
        </w:tc>
      </w:tr>
    </w:tbl>
    <w:p w14:paraId="73FBB5F3" w14:textId="77777777" w:rsidR="00CB0A98" w:rsidRDefault="00CB0A98" w:rsidP="00514C3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801A8C" w14:textId="13F34D1E" w:rsidR="00CB0A98" w:rsidRPr="00CB0A98" w:rsidRDefault="00CB0A98" w:rsidP="00CB0A9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bookmarkStart w:id="0" w:name="_3znysh7" w:colFirst="0" w:colLast="0"/>
      <w:bookmarkEnd w:id="0"/>
      <w:proofErr w:type="spellStart"/>
      <w:r w:rsidRPr="00CB0A9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Referências</w:t>
      </w:r>
      <w:proofErr w:type="spellEnd"/>
      <w:r w:rsidR="00514C3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14:paraId="3F873CA9" w14:textId="77777777" w:rsidR="00CB0A98" w:rsidRPr="00186A9F" w:rsidRDefault="00CB0A98" w:rsidP="000761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bookmarkStart w:id="1" w:name="_2et92p0" w:colFirst="0" w:colLast="0"/>
      <w:bookmarkEnd w:id="1"/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AGAWU, Victor Kofi. </w:t>
      </w:r>
      <w:r w:rsidRPr="00186A9F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Playing with Signs</w:t>
      </w:r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proofErr w:type="gramStart"/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gramEnd"/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Semiotic Interpretation of Classic Music. </w:t>
      </w:r>
      <w:r w:rsidRPr="00186A9F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Princeton, Princeton University Press, 1991. </w:t>
      </w:r>
    </w:p>
    <w:p w14:paraId="422EE407" w14:textId="77777777" w:rsidR="00CB0A98" w:rsidRPr="00186A9F" w:rsidRDefault="00CB0A98" w:rsidP="000761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186A9F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BLEEK, Tobias. </w:t>
      </w:r>
      <w:r w:rsidRPr="00186A9F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>Musikalische Intertextualität als Schaffensprinzip</w:t>
      </w:r>
      <w:r w:rsidRPr="00186A9F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. Eine Studie zu </w:t>
      </w:r>
      <w:proofErr w:type="spellStart"/>
      <w:r w:rsidRPr="00186A9F">
        <w:rPr>
          <w:rFonts w:ascii="Times New Roman" w:eastAsia="Times New Roman" w:hAnsi="Times New Roman" w:cs="Times New Roman"/>
          <w:sz w:val="24"/>
          <w:szCs w:val="24"/>
          <w:lang w:val="de-DE"/>
        </w:rPr>
        <w:t>Kurtágs</w:t>
      </w:r>
      <w:proofErr w:type="spellEnd"/>
      <w:r w:rsidRPr="00186A9F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Streichquartett Officium breve op. 28. Saarbrücken: Pfau, 2010.</w:t>
      </w:r>
    </w:p>
    <w:p w14:paraId="1BEEC912" w14:textId="77777777" w:rsidR="00CB0A98" w:rsidRPr="00186A9F" w:rsidRDefault="00CB0A98" w:rsidP="000761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BLOOM, Harold. </w:t>
      </w:r>
      <w:r w:rsidRPr="00186A9F">
        <w:rPr>
          <w:rFonts w:ascii="Times New Roman" w:eastAsia="Times New Roman" w:hAnsi="Times New Roman" w:cs="Times New Roman"/>
          <w:i/>
          <w:iCs/>
          <w:sz w:val="24"/>
          <w:szCs w:val="24"/>
        </w:rPr>
        <w:t>A Angústia da Influência</w:t>
      </w:r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: Uma Teoria da Poesia (2ª ed.). Tradução de Marcos </w:t>
      </w:r>
      <w:proofErr w:type="spellStart"/>
      <w:r w:rsidRPr="00186A9F">
        <w:rPr>
          <w:rFonts w:ascii="Times New Roman" w:eastAsia="Times New Roman" w:hAnsi="Times New Roman" w:cs="Times New Roman"/>
          <w:sz w:val="24"/>
          <w:szCs w:val="24"/>
        </w:rPr>
        <w:t>Santarrita</w:t>
      </w:r>
      <w:proofErr w:type="spellEnd"/>
      <w:r w:rsidRPr="00186A9F">
        <w:rPr>
          <w:rFonts w:ascii="Times New Roman" w:eastAsia="Times New Roman" w:hAnsi="Times New Roman" w:cs="Times New Roman"/>
          <w:sz w:val="24"/>
          <w:szCs w:val="24"/>
        </w:rPr>
        <w:t>. Rio de Janeiro: Imago Ed., 2002.</w:t>
      </w:r>
    </w:p>
    <w:p w14:paraId="6AE65063" w14:textId="77777777" w:rsidR="00CB0A98" w:rsidRPr="00186A9F" w:rsidRDefault="00CB0A98" w:rsidP="000761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>BLOOM, Harold.</w:t>
      </w:r>
      <w:r w:rsidRPr="00186A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r w:rsidRPr="00186A9F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The Anxiety of Influence:</w:t>
      </w:r>
      <w:r w:rsidRPr="00186A9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>A Theory of Poetry. New York: Oxford University Press, 1973.</w:t>
      </w:r>
    </w:p>
    <w:p w14:paraId="20A6D742" w14:textId="77777777" w:rsidR="00CB0A98" w:rsidRPr="00186A9F" w:rsidRDefault="00CB0A98" w:rsidP="000761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6A9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BLOOM, Harold. </w:t>
      </w:r>
      <w:r w:rsidRPr="00186A9F">
        <w:rPr>
          <w:rFonts w:ascii="Times New Roman" w:eastAsia="Times New Roman" w:hAnsi="Times New Roman" w:cs="Times New Roman"/>
          <w:i/>
          <w:iCs/>
          <w:sz w:val="24"/>
          <w:szCs w:val="24"/>
        </w:rPr>
        <w:t>Um Mapa da Desleitura</w:t>
      </w:r>
      <w:r w:rsidRPr="00186A9F">
        <w:rPr>
          <w:rFonts w:ascii="Times New Roman" w:eastAsia="Times New Roman" w:hAnsi="Times New Roman" w:cs="Times New Roman"/>
          <w:sz w:val="24"/>
          <w:szCs w:val="24"/>
        </w:rPr>
        <w:t>. 2ªed. Trad. de Thelma Médici Nóbrega. Rio de Janeiro: Imago, 2003.</w:t>
      </w:r>
    </w:p>
    <w:p w14:paraId="3B9CCB08" w14:textId="19B2B3C7" w:rsidR="00CB0A98" w:rsidRPr="00186A9F" w:rsidRDefault="00CB0A98" w:rsidP="000761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BURKHOLDER, J. Peter; GIGER, Andreas; BIRCHLER, David Carl. </w:t>
      </w:r>
      <w:r w:rsidRPr="00186A9F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Musical Borrowing and Rewriting:</w:t>
      </w:r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An Annotated Bibliography. Bloomington, IN: Center for the History of Music Theory and Literature. 1999-202</w:t>
      </w:r>
      <w:r w:rsidR="00076127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hyperlink r:id="rId7" w:history="1">
        <w:r w:rsidRPr="00186A9F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/>
          </w:rPr>
          <w:t>https://chmtl.indiana.edu/borrowing/</w:t>
        </w:r>
      </w:hyperlink>
    </w:p>
    <w:p w14:paraId="0925B366" w14:textId="77777777" w:rsidR="00CB0A98" w:rsidRPr="00186A9F" w:rsidRDefault="00CB0A98" w:rsidP="000761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BURKHOLDER, J. Peter. Intertextuality. </w:t>
      </w:r>
      <w:r w:rsidRPr="00186A9F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Grove Music Online.</w:t>
      </w:r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Ed. Stanley Sadie. 2a </w:t>
      </w:r>
      <w:proofErr w:type="gramStart"/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>ed..</w:t>
      </w:r>
      <w:proofErr w:type="gramEnd"/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London: Macmillan, 2001. p. 5-41.</w:t>
      </w:r>
    </w:p>
    <w:p w14:paraId="065FFA18" w14:textId="77777777" w:rsidR="00CB0A98" w:rsidRPr="00186A9F" w:rsidRDefault="00CB0A98" w:rsidP="000761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BURKHOLDER, J. Peter. Making old music new: Performance, arranging, borrowing, schemas, topics, intertextuality. </w:t>
      </w:r>
      <w:r w:rsidRPr="00186A9F">
        <w:rPr>
          <w:rFonts w:ascii="Times New Roman" w:eastAsia="Times New Roman" w:hAnsi="Times New Roman" w:cs="Times New Roman"/>
          <w:i/>
          <w:iCs/>
          <w:sz w:val="24"/>
          <w:szCs w:val="24"/>
        </w:rPr>
        <w:t>In</w:t>
      </w:r>
      <w:r w:rsidRPr="00186A9F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86A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KOSTKA, </w:t>
      </w:r>
      <w:proofErr w:type="spellStart"/>
      <w:r w:rsidRPr="00186A9F">
        <w:rPr>
          <w:rFonts w:ascii="Times New Roman" w:eastAsia="Times New Roman" w:hAnsi="Times New Roman" w:cs="Times New Roman"/>
          <w:sz w:val="24"/>
          <w:szCs w:val="24"/>
        </w:rPr>
        <w:t>Violetta</w:t>
      </w:r>
      <w:proofErr w:type="spellEnd"/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; CASTRO, Paulo F. de; EVERETT, William A. (ed.). </w:t>
      </w:r>
      <w:r w:rsidRPr="00186A9F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Intertextuality in Music:</w:t>
      </w:r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Dialogic Composition. London /New York: Routledge, 2021. p. 68-84</w:t>
      </w:r>
    </w:p>
    <w:p w14:paraId="3DA29C6F" w14:textId="77777777" w:rsidR="00CB0A98" w:rsidRPr="00186A9F" w:rsidRDefault="00CB0A98" w:rsidP="000761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BURKHOLDER, J. Peter. The Uses of Existing Music: Musical Borrowing as a Field. </w:t>
      </w:r>
      <w:r w:rsidRPr="00186A9F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Notes</w:t>
      </w:r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vol. 50, n. 3, 1994. p. 851-870</w:t>
      </w:r>
    </w:p>
    <w:p w14:paraId="225813B6" w14:textId="2FEE42BA" w:rsidR="00CB0A98" w:rsidRPr="00186A9F" w:rsidRDefault="00CB0A98" w:rsidP="000761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BURNS, Lori; LACASSE, Serge (ed.). </w:t>
      </w:r>
      <w:r w:rsidRPr="00186A9F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The Pop Palimpsest:</w:t>
      </w:r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Intertextuality in Recorded Popular Music. Ann Arbor: University of Michigan Press. 2018</w:t>
      </w:r>
      <w:r w:rsidRPr="00186A9F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 xml:space="preserve">. </w:t>
      </w:r>
    </w:p>
    <w:p w14:paraId="27F8E83D" w14:textId="77777777" w:rsidR="00CB0A98" w:rsidRPr="00186A9F" w:rsidRDefault="00CB0A98" w:rsidP="000761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COELHO DE SOUZA, Rodolfo. Intertextualidade na Música Pós-Moderna. In: SEKEFF, M. de L.; ZAMPRONHA, E. (org.). </w:t>
      </w:r>
      <w:r w:rsidRPr="00186A9F">
        <w:rPr>
          <w:rFonts w:ascii="Times New Roman" w:eastAsia="Times New Roman" w:hAnsi="Times New Roman" w:cs="Times New Roman"/>
          <w:i/>
          <w:iCs/>
          <w:sz w:val="24"/>
          <w:szCs w:val="24"/>
        </w:rPr>
        <w:t>Arte e Cultura V:</w:t>
      </w:r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 estudos interdisciplinares. São Paulo: </w:t>
      </w:r>
      <w:proofErr w:type="spellStart"/>
      <w:r w:rsidRPr="00186A9F">
        <w:rPr>
          <w:rFonts w:ascii="Times New Roman" w:eastAsia="Times New Roman" w:hAnsi="Times New Roman" w:cs="Times New Roman"/>
          <w:sz w:val="24"/>
          <w:szCs w:val="24"/>
        </w:rPr>
        <w:t>Annablume</w:t>
      </w:r>
      <w:proofErr w:type="spellEnd"/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, Fapesp, 2009. p. 53-73. </w:t>
      </w:r>
    </w:p>
    <w:p w14:paraId="624DD4BD" w14:textId="2931E761" w:rsidR="00514C3C" w:rsidRPr="00514C3C" w:rsidRDefault="00514C3C" w:rsidP="000761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COELHO DE SOUZA, Rodolfo. </w:t>
      </w:r>
      <w:r w:rsidRPr="00514C3C">
        <w:rPr>
          <w:rFonts w:ascii="Times New Roman" w:eastAsia="Times New Roman" w:hAnsi="Times New Roman" w:cs="Times New Roman"/>
          <w:sz w:val="24"/>
          <w:szCs w:val="24"/>
        </w:rPr>
        <w:t>Sintaxe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</w:t>
      </w:r>
      <w:r w:rsidRPr="00514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parataxe</w:t>
      </w:r>
      <w:r w:rsidRPr="00514C3C">
        <w:rPr>
          <w:rFonts w:ascii="Times New Roman" w:eastAsia="Times New Roman" w:hAnsi="Times New Roman" w:cs="Times New Roman"/>
          <w:sz w:val="24"/>
          <w:szCs w:val="24"/>
        </w:rPr>
        <w:t xml:space="preserve"> na música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 w:rsidRPr="00514C3C">
        <w:rPr>
          <w:rFonts w:ascii="Times New Roman" w:eastAsia="Times New Roman" w:hAnsi="Times New Roman" w:cs="Times New Roman"/>
          <w:sz w:val="24"/>
          <w:szCs w:val="24"/>
        </w:rPr>
        <w:t>oderna e pós</w:t>
      </w:r>
      <w:r>
        <w:rPr>
          <w:rFonts w:ascii="Times New Roman" w:eastAsia="Times New Roman" w:hAnsi="Times New Roman" w:cs="Times New Roman"/>
          <w:sz w:val="24"/>
          <w:szCs w:val="24"/>
        </w:rPr>
        <w:t>-m</w:t>
      </w:r>
      <w:r w:rsidRPr="00514C3C">
        <w:rPr>
          <w:rFonts w:ascii="Times New Roman" w:eastAsia="Times New Roman" w:hAnsi="Times New Roman" w:cs="Times New Roman"/>
          <w:sz w:val="24"/>
          <w:szCs w:val="24"/>
        </w:rPr>
        <w:t>oderna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14C3C">
        <w:rPr>
          <w:rFonts w:ascii="Times New Roman" w:eastAsia="Times New Roman" w:hAnsi="Times New Roman" w:cs="Times New Roman"/>
          <w:i/>
          <w:iCs/>
          <w:sz w:val="24"/>
          <w:szCs w:val="24"/>
        </w:rPr>
        <w:t>Opus</w:t>
      </w:r>
      <w:r w:rsidRPr="00514C3C">
        <w:rPr>
          <w:rFonts w:ascii="Times New Roman" w:eastAsia="Times New Roman" w:hAnsi="Times New Roman" w:cs="Times New Roman"/>
          <w:sz w:val="24"/>
          <w:szCs w:val="24"/>
        </w:rPr>
        <w:t>, Goiânia, v. 13, n. 2, 2017, p. 73-91.</w:t>
      </w:r>
    </w:p>
    <w:p w14:paraId="27F6A295" w14:textId="0DAE4ACC" w:rsidR="00CB0A98" w:rsidRPr="00186A9F" w:rsidRDefault="00514C3C" w:rsidP="000761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GENETTE, </w:t>
      </w:r>
      <w:proofErr w:type="spellStart"/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>Gérard</w:t>
      </w:r>
      <w:proofErr w:type="spellEnd"/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076127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Palimspestes</w:t>
      </w:r>
      <w:proofErr w:type="spellEnd"/>
      <w:r w:rsidRPr="00076127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:</w:t>
      </w:r>
      <w:r w:rsidRPr="0007612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076127">
        <w:rPr>
          <w:rFonts w:ascii="Times New Roman" w:eastAsia="Times New Roman" w:hAnsi="Times New Roman" w:cs="Times New Roman"/>
          <w:sz w:val="24"/>
          <w:szCs w:val="24"/>
          <w:lang w:val="en-US"/>
        </w:rPr>
        <w:t>littérature</w:t>
      </w:r>
      <w:proofErr w:type="spellEnd"/>
      <w:r w:rsidRPr="0007612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au second </w:t>
      </w:r>
      <w:proofErr w:type="spellStart"/>
      <w:r w:rsidRPr="00076127">
        <w:rPr>
          <w:rFonts w:ascii="Times New Roman" w:eastAsia="Times New Roman" w:hAnsi="Times New Roman" w:cs="Times New Roman"/>
          <w:sz w:val="24"/>
          <w:szCs w:val="24"/>
          <w:lang w:val="en-US"/>
        </w:rPr>
        <w:t>degré</w:t>
      </w:r>
      <w:proofErr w:type="spellEnd"/>
      <w:r w:rsidRPr="0007612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Paris: </w:t>
      </w:r>
      <w:proofErr w:type="spellStart"/>
      <w:r w:rsidRPr="00076127">
        <w:rPr>
          <w:rFonts w:ascii="Times New Roman" w:eastAsia="Times New Roman" w:hAnsi="Times New Roman" w:cs="Times New Roman"/>
          <w:sz w:val="24"/>
          <w:szCs w:val="24"/>
          <w:lang w:val="en-US"/>
        </w:rPr>
        <w:t>Seuil</w:t>
      </w:r>
      <w:proofErr w:type="spellEnd"/>
      <w:r w:rsidRPr="00076127">
        <w:rPr>
          <w:rFonts w:ascii="Times New Roman" w:eastAsia="Times New Roman" w:hAnsi="Times New Roman" w:cs="Times New Roman"/>
          <w:sz w:val="24"/>
          <w:szCs w:val="24"/>
          <w:lang w:val="en-US"/>
        </w:rPr>
        <w:t>, 1982</w:t>
      </w:r>
      <w:r w:rsidR="00CB0A98"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01810871" w14:textId="77777777" w:rsidR="00CB0A98" w:rsidRPr="00186A9F" w:rsidRDefault="00CB0A98" w:rsidP="000761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HATTEN, Robert S. </w:t>
      </w:r>
      <w:r w:rsidRPr="00186A9F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Musical Meaning in Beethoven:</w:t>
      </w:r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Markedness, Correlation, and Interpretation. Bloomington: Indiana University Press, 1994. </w:t>
      </w:r>
    </w:p>
    <w:p w14:paraId="42E63D33" w14:textId="77777777" w:rsidR="00CB0A98" w:rsidRPr="00186A9F" w:rsidRDefault="00CB0A98" w:rsidP="000761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>KORSYN, Kevin. Towards a New Poetics of Musical Influence.</w:t>
      </w:r>
      <w:r w:rsidRPr="00186A9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186A9F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Music Analysis,</w:t>
      </w:r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Oxford, v. 10, n. 1/2, p. 3-72, </w:t>
      </w:r>
      <w:proofErr w:type="gramStart"/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>mar./</w:t>
      </w:r>
      <w:proofErr w:type="spellStart"/>
      <w:proofErr w:type="gramEnd"/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>jul.</w:t>
      </w:r>
      <w:proofErr w:type="spellEnd"/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1991.</w:t>
      </w:r>
    </w:p>
    <w:p w14:paraId="15C6B395" w14:textId="77777777" w:rsidR="00CB0A98" w:rsidRPr="00186A9F" w:rsidRDefault="00CB0A98" w:rsidP="000761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KOSTKA, </w:t>
      </w:r>
      <w:proofErr w:type="spellStart"/>
      <w:r w:rsidRPr="00186A9F">
        <w:rPr>
          <w:rFonts w:ascii="Times New Roman" w:eastAsia="Times New Roman" w:hAnsi="Times New Roman" w:cs="Times New Roman"/>
          <w:sz w:val="24"/>
          <w:szCs w:val="24"/>
        </w:rPr>
        <w:t>Violetta</w:t>
      </w:r>
      <w:proofErr w:type="spellEnd"/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; CASTRO, Paulo F. de; EVERETT, William A. (ed.). </w:t>
      </w:r>
      <w:r w:rsidRPr="00186A9F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Intertextuality in Music:</w:t>
      </w:r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Dialogic Composition. London/New York: Routledge, 2021.</w:t>
      </w:r>
    </w:p>
    <w:p w14:paraId="02E41DBF" w14:textId="77777777" w:rsidR="00CB0A98" w:rsidRPr="00186A9F" w:rsidRDefault="00CB0A98" w:rsidP="000761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KRISTEVA, Julia. Bakhtin, le Mot, le Dialogue et le Roman. In: </w:t>
      </w:r>
      <w:proofErr w:type="spellStart"/>
      <w:r w:rsidRPr="00186A9F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Sèméiôtikè</w:t>
      </w:r>
      <w:proofErr w:type="spellEnd"/>
      <w:r w:rsidRPr="00186A9F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:</w:t>
      </w:r>
      <w:r w:rsidRPr="00186A9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>Recherches</w:t>
      </w:r>
      <w:proofErr w:type="spellEnd"/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pour </w:t>
      </w:r>
      <w:proofErr w:type="spellStart"/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>une</w:t>
      </w:r>
      <w:proofErr w:type="spellEnd"/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>Sémanalyse</w:t>
      </w:r>
      <w:proofErr w:type="spellEnd"/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Paris: </w:t>
      </w:r>
      <w:proofErr w:type="spellStart"/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>Seuil</w:t>
      </w:r>
      <w:proofErr w:type="spellEnd"/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>, 1969.</w:t>
      </w:r>
    </w:p>
    <w:p w14:paraId="7802FC94" w14:textId="77777777" w:rsidR="00CB0A98" w:rsidRPr="00186A9F" w:rsidRDefault="00CB0A98" w:rsidP="000761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LEIGH, Martin. </w:t>
      </w:r>
      <w:r w:rsidRPr="00186A9F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Grundgestalt, Multi-Piece, and Intertextuality in Brahms’s Opp. 117, 118, e 119.</w:t>
      </w:r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1998. 350 f. Tese (Doutorado em </w:t>
      </w:r>
      <w:proofErr w:type="gramStart"/>
      <w:r w:rsidRPr="00186A9F">
        <w:rPr>
          <w:rFonts w:ascii="Times New Roman" w:eastAsia="Times New Roman" w:hAnsi="Times New Roman" w:cs="Times New Roman"/>
          <w:sz w:val="24"/>
          <w:szCs w:val="24"/>
        </w:rPr>
        <w:t>Filosofia)–</w:t>
      </w:r>
      <w:proofErr w:type="spellStart"/>
      <w:proofErr w:type="gramEnd"/>
      <w:r w:rsidRPr="00186A9F">
        <w:rPr>
          <w:rFonts w:ascii="Times New Roman" w:eastAsia="Times New Roman" w:hAnsi="Times New Roman" w:cs="Times New Roman"/>
          <w:sz w:val="24"/>
          <w:szCs w:val="24"/>
        </w:rPr>
        <w:t>University</w:t>
      </w:r>
      <w:proofErr w:type="spellEnd"/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6A9F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 Nottingham, Nottingham, 1998.</w:t>
      </w:r>
    </w:p>
    <w:p w14:paraId="25A0A511" w14:textId="77777777" w:rsidR="00CB0A98" w:rsidRPr="00186A9F" w:rsidRDefault="00CB0A98" w:rsidP="000761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MESQUITA, Gabriel de. </w:t>
      </w:r>
      <w:r w:rsidRPr="00186A9F">
        <w:rPr>
          <w:rFonts w:ascii="Times New Roman" w:eastAsia="Times New Roman" w:hAnsi="Times New Roman" w:cs="Times New Roman"/>
          <w:bCs/>
          <w:i/>
          <w:sz w:val="24"/>
          <w:szCs w:val="24"/>
        </w:rPr>
        <w:t>A acústica da influência</w:t>
      </w:r>
      <w:r w:rsidRPr="00186A9F">
        <w:rPr>
          <w:rFonts w:ascii="Times New Roman" w:eastAsia="Times New Roman" w:hAnsi="Times New Roman" w:cs="Times New Roman"/>
          <w:bCs/>
          <w:iCs/>
          <w:sz w:val="24"/>
          <w:szCs w:val="24"/>
        </w:rPr>
        <w:t>:</w:t>
      </w:r>
      <w:r w:rsidRPr="00186A9F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uma recomposição da intertextualidade na música. 2018. 108 f. Dissertação (Mestrado em </w:t>
      </w:r>
      <w:proofErr w:type="gramStart"/>
      <w:r w:rsidRPr="00186A9F">
        <w:rPr>
          <w:rFonts w:ascii="Times New Roman" w:eastAsia="Times New Roman" w:hAnsi="Times New Roman" w:cs="Times New Roman"/>
          <w:sz w:val="24"/>
          <w:szCs w:val="24"/>
        </w:rPr>
        <w:t>Música)—</w:t>
      </w:r>
      <w:proofErr w:type="gramEnd"/>
      <w:r w:rsidRPr="00186A9F">
        <w:rPr>
          <w:rFonts w:ascii="Times New Roman" w:eastAsia="Times New Roman" w:hAnsi="Times New Roman" w:cs="Times New Roman"/>
          <w:sz w:val="24"/>
          <w:szCs w:val="24"/>
        </w:rPr>
        <w:t>Centro de Letras e Artes, Universidade Federal do Rio de Janeiro, Rio de Janeiro, 2018.</w:t>
      </w:r>
    </w:p>
    <w:p w14:paraId="1EE934DA" w14:textId="77777777" w:rsidR="00CB0A98" w:rsidRPr="00186A9F" w:rsidRDefault="00CB0A98" w:rsidP="00076127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MESQUITA, Gabriel de. A Intertextualidade e o Estranho Retorno Infinito (Comunicação). In: </w:t>
      </w:r>
      <w:r w:rsidRPr="00186A9F">
        <w:rPr>
          <w:rFonts w:ascii="Times New Roman" w:eastAsia="Times New Roman" w:hAnsi="Times New Roman" w:cs="Times New Roman"/>
          <w:i/>
          <w:iCs/>
          <w:sz w:val="24"/>
          <w:szCs w:val="24"/>
        </w:rPr>
        <w:t>VII Simpósio Brasileiro De Pós-Graduandos Em Música</w:t>
      </w:r>
      <w:r w:rsidRPr="00186A9F">
        <w:rPr>
          <w:rFonts w:ascii="Times New Roman" w:eastAsia="Times New Roman" w:hAnsi="Times New Roman" w:cs="Times New Roman"/>
          <w:sz w:val="24"/>
          <w:szCs w:val="24"/>
        </w:rPr>
        <w:t>, 2021, Rio de Janeiro.</w:t>
      </w:r>
      <w:r w:rsidRPr="00186A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8" w:history="1">
        <w:r w:rsidRPr="00186A9F">
          <w:rPr>
            <w:rStyle w:val="Hyperlink"/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https://www.youtube.com/watch?v=IrrYuusKWkI</w:t>
        </w:r>
      </w:hyperlink>
    </w:p>
    <w:p w14:paraId="133B1574" w14:textId="4AC785A5" w:rsidR="00514C3C" w:rsidRPr="00514C3C" w:rsidRDefault="00514C3C" w:rsidP="000761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14C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NATTIEZ, Jean-Jacques. </w:t>
      </w:r>
      <w:r w:rsidRPr="00514C3C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Music and Discourse</w:t>
      </w:r>
      <w:r w:rsidRPr="00514C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Toward a Semiology of Music. </w:t>
      </w:r>
      <w:proofErr w:type="spellStart"/>
      <w:r w:rsidRPr="00514C3C">
        <w:rPr>
          <w:rFonts w:ascii="Times New Roman" w:eastAsia="Times New Roman" w:hAnsi="Times New Roman" w:cs="Times New Roman"/>
          <w:sz w:val="24"/>
          <w:szCs w:val="24"/>
          <w:lang w:val="en-US"/>
        </w:rPr>
        <w:t>Tradução</w:t>
      </w:r>
      <w:proofErr w:type="spellEnd"/>
      <w:r w:rsidRPr="00514C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de Carolyn Abbate. Princeton: Princeton University Press, 1990.</w:t>
      </w:r>
    </w:p>
    <w:p w14:paraId="739D4118" w14:textId="77777777" w:rsidR="00CB0A98" w:rsidRPr="00186A9F" w:rsidRDefault="00CB0A98" w:rsidP="000761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 xml:space="preserve">PIEDADE, </w:t>
      </w:r>
      <w:proofErr w:type="spellStart"/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>Acácio</w:t>
      </w:r>
      <w:proofErr w:type="spellEnd"/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Uma Análise do Prelúdio da Bachianas Brasileiras n 2 sob a perspectiva das tópicas, da </w:t>
      </w:r>
      <w:proofErr w:type="spellStart"/>
      <w:r w:rsidRPr="00186A9F">
        <w:rPr>
          <w:rFonts w:ascii="Times New Roman" w:eastAsia="Times New Roman" w:hAnsi="Times New Roman" w:cs="Times New Roman"/>
          <w:sz w:val="24"/>
          <w:szCs w:val="24"/>
        </w:rPr>
        <w:t>retoricidade</w:t>
      </w:r>
      <w:proofErr w:type="spellEnd"/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 e da narratividade. In: </w:t>
      </w:r>
      <w:r w:rsidRPr="00186A9F">
        <w:rPr>
          <w:rFonts w:ascii="Times New Roman" w:eastAsia="Times New Roman" w:hAnsi="Times New Roman" w:cs="Times New Roman"/>
          <w:i/>
          <w:iCs/>
          <w:sz w:val="24"/>
          <w:szCs w:val="24"/>
        </w:rPr>
        <w:t>Villa-Lobos, um Compêndio</w:t>
      </w:r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: Novos Desafios Interpretativos. Curitiba: Editora da UFPR, 2017, p. 273-289. </w:t>
      </w:r>
    </w:p>
    <w:p w14:paraId="72D734DF" w14:textId="77777777" w:rsidR="00CB0A98" w:rsidRDefault="00CB0A98" w:rsidP="000761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PITOMBEIRA, </w:t>
      </w:r>
      <w:proofErr w:type="spellStart"/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>Liduino</w:t>
      </w:r>
      <w:proofErr w:type="spellEnd"/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Compositional Systems: Overview and </w:t>
      </w:r>
      <w:proofErr w:type="spellStart"/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>aplication</w:t>
      </w:r>
      <w:proofErr w:type="spellEnd"/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86A9F">
        <w:rPr>
          <w:rFonts w:ascii="Times New Roman" w:eastAsia="Times New Roman" w:hAnsi="Times New Roman" w:cs="Times New Roman"/>
          <w:i/>
          <w:iCs/>
          <w:sz w:val="24"/>
          <w:szCs w:val="24"/>
        </w:rPr>
        <w:t>MusMat</w:t>
      </w:r>
      <w:proofErr w:type="spellEnd"/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. v. 4, n. 1, p. 39-62, jun. 2020. </w:t>
      </w:r>
    </w:p>
    <w:p w14:paraId="4514324B" w14:textId="77777777" w:rsidR="00CB0A98" w:rsidRPr="00186A9F" w:rsidRDefault="00CB0A98" w:rsidP="000761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PITOMBEIRA, </w:t>
      </w:r>
      <w:proofErr w:type="spellStart"/>
      <w:r w:rsidRPr="00186A9F">
        <w:rPr>
          <w:rFonts w:ascii="Times New Roman" w:eastAsia="Times New Roman" w:hAnsi="Times New Roman" w:cs="Times New Roman"/>
          <w:sz w:val="24"/>
          <w:szCs w:val="24"/>
        </w:rPr>
        <w:t>Liduino</w:t>
      </w:r>
      <w:proofErr w:type="spellEnd"/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. Fundamentos teóricos e estéticos da modelagem sistêmica no âmbito da composição musical. In: COLÓQUIO DE PESQUISA DE PÓS-GRADUAÇÃO EM MÚSICA DA UFRJ, 14., 2015, Rio de Janeiro. </w:t>
      </w:r>
      <w:r w:rsidRPr="00186A9F">
        <w:rPr>
          <w:rFonts w:ascii="Times New Roman" w:eastAsia="Times New Roman" w:hAnsi="Times New Roman" w:cs="Times New Roman"/>
          <w:i/>
          <w:iCs/>
          <w:sz w:val="24"/>
          <w:szCs w:val="24"/>
        </w:rPr>
        <w:t>Anais…</w:t>
      </w:r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 Rio de Janeiro: UFRJ, 2016. v. 2, p. 103-114. </w:t>
      </w:r>
    </w:p>
    <w:p w14:paraId="452205C7" w14:textId="52D3C3D4" w:rsidR="00076127" w:rsidRDefault="00CB0A98" w:rsidP="000761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PITOMBEIRA, </w:t>
      </w:r>
      <w:proofErr w:type="spellStart"/>
      <w:r w:rsidRPr="00186A9F">
        <w:rPr>
          <w:rFonts w:ascii="Times New Roman" w:eastAsia="Times New Roman" w:hAnsi="Times New Roman" w:cs="Times New Roman"/>
          <w:sz w:val="24"/>
          <w:szCs w:val="24"/>
        </w:rPr>
        <w:t>Liduino</w:t>
      </w:r>
      <w:proofErr w:type="spellEnd"/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. Modelagem </w:t>
      </w:r>
      <w:proofErr w:type="spellStart"/>
      <w:r w:rsidRPr="00186A9F">
        <w:rPr>
          <w:rFonts w:ascii="Times New Roman" w:eastAsia="Times New Roman" w:hAnsi="Times New Roman" w:cs="Times New Roman"/>
          <w:sz w:val="24"/>
          <w:szCs w:val="24"/>
        </w:rPr>
        <w:t>sistêmica</w:t>
      </w:r>
      <w:proofErr w:type="spellEnd"/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 como metodologia </w:t>
      </w:r>
      <w:proofErr w:type="spellStart"/>
      <w:r w:rsidRPr="00186A9F">
        <w:rPr>
          <w:rFonts w:ascii="Times New Roman" w:eastAsia="Times New Roman" w:hAnsi="Times New Roman" w:cs="Times New Roman"/>
          <w:sz w:val="24"/>
          <w:szCs w:val="24"/>
        </w:rPr>
        <w:t>pre</w:t>
      </w:r>
      <w:proofErr w:type="spellEnd"/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́-composicional. </w:t>
      </w:r>
      <w:r w:rsidRPr="00186A9F">
        <w:rPr>
          <w:rFonts w:ascii="Times New Roman" w:eastAsia="Times New Roman" w:hAnsi="Times New Roman" w:cs="Times New Roman" w:hint="eastAsia"/>
          <w:sz w:val="24"/>
          <w:szCs w:val="24"/>
        </w:rPr>
        <w:t xml:space="preserve">XXVII Congresso da </w:t>
      </w:r>
      <w:proofErr w:type="spellStart"/>
      <w:r w:rsidRPr="00186A9F">
        <w:rPr>
          <w:rFonts w:ascii="Times New Roman" w:eastAsia="Times New Roman" w:hAnsi="Times New Roman" w:cs="Times New Roman" w:hint="eastAsia"/>
          <w:sz w:val="24"/>
          <w:szCs w:val="24"/>
        </w:rPr>
        <w:t>Associac</w:t>
      </w:r>
      <w:r w:rsidRPr="00186A9F">
        <w:rPr>
          <w:rFonts w:ascii="Times New Roman" w:eastAsia="Times New Roman" w:hAnsi="Times New Roman" w:cs="Times New Roman"/>
          <w:sz w:val="24"/>
          <w:szCs w:val="24"/>
        </w:rPr>
        <w:t>ão</w:t>
      </w:r>
      <w:proofErr w:type="spellEnd"/>
      <w:r w:rsidRPr="00186A9F">
        <w:rPr>
          <w:rFonts w:ascii="Times New Roman" w:eastAsia="Times New Roman" w:hAnsi="Times New Roman" w:cs="Times New Roman" w:hint="eastAsia"/>
          <w:sz w:val="24"/>
          <w:szCs w:val="24"/>
        </w:rPr>
        <w:t xml:space="preserve"> Nacional de Pesquisa e P</w:t>
      </w:r>
      <w:r w:rsidRPr="00186A9F">
        <w:rPr>
          <w:rFonts w:ascii="Times New Roman" w:eastAsia="Times New Roman" w:hAnsi="Times New Roman" w:cs="Times New Roman"/>
          <w:sz w:val="24"/>
          <w:szCs w:val="24"/>
        </w:rPr>
        <w:t>ó</w:t>
      </w:r>
      <w:r w:rsidRPr="00186A9F">
        <w:rPr>
          <w:rFonts w:ascii="Times New Roman" w:eastAsia="Times New Roman" w:hAnsi="Times New Roman" w:cs="Times New Roman" w:hint="eastAsia"/>
          <w:sz w:val="24"/>
          <w:szCs w:val="24"/>
        </w:rPr>
        <w:t>s-Gradu</w:t>
      </w:r>
      <w:r w:rsidRPr="00186A9F">
        <w:rPr>
          <w:rFonts w:ascii="Times New Roman" w:eastAsia="Times New Roman" w:hAnsi="Times New Roman" w:cs="Times New Roman"/>
          <w:sz w:val="24"/>
          <w:szCs w:val="24"/>
        </w:rPr>
        <w:t>ação</w:t>
      </w:r>
      <w:r w:rsidRPr="00186A9F">
        <w:rPr>
          <w:rFonts w:ascii="Times New Roman" w:eastAsia="Times New Roman" w:hAnsi="Times New Roman" w:cs="Times New Roman" w:hint="eastAsia"/>
          <w:sz w:val="24"/>
          <w:szCs w:val="24"/>
        </w:rPr>
        <w:t xml:space="preserve"> em M</w:t>
      </w:r>
      <w:r w:rsidRPr="00186A9F">
        <w:rPr>
          <w:rFonts w:ascii="Times New Roman" w:eastAsia="Times New Roman" w:hAnsi="Times New Roman" w:cs="Times New Roman"/>
          <w:sz w:val="24"/>
          <w:szCs w:val="24"/>
        </w:rPr>
        <w:t>ú</w:t>
      </w:r>
      <w:r w:rsidRPr="00186A9F">
        <w:rPr>
          <w:rFonts w:ascii="Times New Roman" w:eastAsia="Times New Roman" w:hAnsi="Times New Roman" w:cs="Times New Roman" w:hint="eastAsia"/>
          <w:sz w:val="24"/>
          <w:szCs w:val="24"/>
        </w:rPr>
        <w:t>sica</w:t>
      </w:r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 (ANPPOM), 2017, </w:t>
      </w:r>
      <w:r w:rsidRPr="00186A9F">
        <w:rPr>
          <w:rFonts w:ascii="Times New Roman" w:eastAsia="Times New Roman" w:hAnsi="Times New Roman" w:cs="Times New Roman" w:hint="eastAsia"/>
          <w:sz w:val="24"/>
          <w:szCs w:val="24"/>
        </w:rPr>
        <w:t>Campinas</w:t>
      </w:r>
      <w:r w:rsidRPr="00186A9F">
        <w:rPr>
          <w:rFonts w:ascii="Times New Roman" w:eastAsia="Times New Roman" w:hAnsi="Times New Roman" w:cs="Times New Roman"/>
          <w:i/>
          <w:iCs/>
          <w:sz w:val="24"/>
          <w:szCs w:val="24"/>
        </w:rPr>
        <w:t>. Anais ...,</w:t>
      </w:r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 2017, p. 1-19.</w:t>
      </w:r>
      <w:r w:rsidR="00514C3C" w:rsidRPr="00514C3C">
        <w:rPr>
          <w:rFonts w:ascii="Times New Roman" w:eastAsia="Times New Roman" w:hAnsi="Times New Roman" w:cs="Times New Roman"/>
          <w:sz w:val="24"/>
          <w:szCs w:val="24"/>
        </w:rPr>
        <w:t xml:space="preserve"> Di</w:t>
      </w:r>
      <w:r w:rsidR="00076127">
        <w:rPr>
          <w:rFonts w:ascii="Times New Roman" w:eastAsia="Times New Roman" w:hAnsi="Times New Roman" w:cs="Times New Roman"/>
          <w:sz w:val="24"/>
          <w:szCs w:val="24"/>
        </w:rPr>
        <w:t>s</w:t>
      </w:r>
      <w:r w:rsidR="00514C3C" w:rsidRPr="00514C3C">
        <w:rPr>
          <w:rFonts w:ascii="Times New Roman" w:eastAsia="Times New Roman" w:hAnsi="Times New Roman" w:cs="Times New Roman"/>
          <w:sz w:val="24"/>
          <w:szCs w:val="24"/>
        </w:rPr>
        <w:t xml:space="preserve">ponível em: </w:t>
      </w:r>
      <w:hyperlink r:id="rId9" w:history="1">
        <w:r w:rsidR="00076127" w:rsidRPr="00B031CD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https://anppom.org.br/anais/anaiscongresso_anppom_2017/5096/public/5096-16512-1-PB.pdf</w:t>
        </w:r>
      </w:hyperlink>
    </w:p>
    <w:p w14:paraId="78229021" w14:textId="77777777" w:rsidR="00CB0A98" w:rsidRPr="00186A9F" w:rsidRDefault="00CB0A98" w:rsidP="000761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RATNER, Leonard. </w:t>
      </w:r>
      <w:r w:rsidRPr="00186A9F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Classic Music</w:t>
      </w:r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Expression, Form, and Style. New York: Schirmer Books, 1980. </w:t>
      </w:r>
    </w:p>
    <w:p w14:paraId="61003B4C" w14:textId="1FF82206" w:rsidR="00CB0A98" w:rsidRPr="00186A9F" w:rsidRDefault="00CB0A98" w:rsidP="000761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STRAUS, Joseph N. </w:t>
      </w:r>
      <w:r w:rsidRPr="00186A9F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Remaking the Past</w:t>
      </w:r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186A9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186A9F">
        <w:rPr>
          <w:rFonts w:ascii="Times New Roman" w:eastAsia="Times New Roman" w:hAnsi="Times New Roman" w:cs="Times New Roman"/>
          <w:sz w:val="24"/>
          <w:szCs w:val="24"/>
          <w:lang w:val="en-US"/>
        </w:rPr>
        <w:t>Musical Modernism and the Influence of the Tonal Tradition. Cambridge, Massachusetts, and London, England: Harvard University Press, 1990.</w:t>
      </w:r>
    </w:p>
    <w:p w14:paraId="662A8446" w14:textId="58273DC4" w:rsidR="00CB0A98" w:rsidRPr="00076127" w:rsidRDefault="00CB0A98" w:rsidP="000761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72D">
        <w:rPr>
          <w:rFonts w:ascii="Times New Roman" w:eastAsia="Times New Roman" w:hAnsi="Times New Roman" w:cs="Times New Roman"/>
          <w:sz w:val="24"/>
          <w:szCs w:val="24"/>
        </w:rPr>
        <w:t>VIDAL, João Vicente</w:t>
      </w:r>
      <w:r w:rsidRPr="00C2372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186A9F">
        <w:rPr>
          <w:rFonts w:ascii="Times New Roman" w:eastAsia="Times New Roman" w:hAnsi="Times New Roman" w:cs="Times New Roman"/>
          <w:i/>
          <w:iCs/>
          <w:sz w:val="24"/>
          <w:szCs w:val="24"/>
        </w:rPr>
        <w:t>Formação Germânica de Alberto Nepomuceno</w:t>
      </w:r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: Estudos sobre Recepção e Intertextualidade. 2011. 343f. Tese (Doutorado em </w:t>
      </w:r>
      <w:proofErr w:type="gramStart"/>
      <w:r w:rsidRPr="00186A9F">
        <w:rPr>
          <w:rFonts w:ascii="Times New Roman" w:eastAsia="Times New Roman" w:hAnsi="Times New Roman" w:cs="Times New Roman"/>
          <w:sz w:val="24"/>
          <w:szCs w:val="24"/>
        </w:rPr>
        <w:t>Música)–</w:t>
      </w:r>
      <w:proofErr w:type="gramEnd"/>
      <w:r w:rsidRPr="00186A9F">
        <w:rPr>
          <w:rFonts w:ascii="Times New Roman" w:eastAsia="Times New Roman" w:hAnsi="Times New Roman" w:cs="Times New Roman"/>
          <w:sz w:val="24"/>
          <w:szCs w:val="24"/>
        </w:rPr>
        <w:t xml:space="preserve">Escola de Comunicação e Artes, Universidade de São Paulo, São Paulo, 2011. </w:t>
      </w:r>
    </w:p>
    <w:p w14:paraId="487DF088" w14:textId="46B50419" w:rsidR="00CB0A98" w:rsidRDefault="00CB0A98"/>
    <w:sectPr w:rsidR="00CB0A98">
      <w:footerReference w:type="even" r:id="rId10"/>
      <w:footerReference w:type="default" r:id="rId11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B99F3" w14:textId="77777777" w:rsidR="00C2372D" w:rsidRDefault="00C2372D">
      <w:pPr>
        <w:spacing w:after="0" w:line="240" w:lineRule="auto"/>
      </w:pPr>
      <w:r>
        <w:separator/>
      </w:r>
    </w:p>
  </w:endnote>
  <w:endnote w:type="continuationSeparator" w:id="0">
    <w:p w14:paraId="7420809D" w14:textId="77777777" w:rsidR="00C2372D" w:rsidRDefault="00C2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488940448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082165CC" w14:textId="77777777" w:rsidR="00076127" w:rsidRDefault="00076127" w:rsidP="00B031CD">
        <w:pPr>
          <w:pStyle w:val="Rodap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044AF9F6" w14:textId="77777777" w:rsidR="00076127" w:rsidRDefault="00076127" w:rsidP="001636E2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475865448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70783BA" w14:textId="77777777" w:rsidR="00076127" w:rsidRDefault="00076127" w:rsidP="00B031CD">
        <w:pPr>
          <w:pStyle w:val="Rodap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565555A7" w14:textId="77777777" w:rsidR="00076127" w:rsidRDefault="00076127" w:rsidP="001636E2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D138D" w14:textId="77777777" w:rsidR="00C2372D" w:rsidRDefault="00C2372D">
      <w:pPr>
        <w:spacing w:after="0" w:line="240" w:lineRule="auto"/>
      </w:pPr>
      <w:r>
        <w:separator/>
      </w:r>
    </w:p>
  </w:footnote>
  <w:footnote w:type="continuationSeparator" w:id="0">
    <w:p w14:paraId="34D78D95" w14:textId="77777777" w:rsidR="00C2372D" w:rsidRDefault="00C237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A98"/>
    <w:rsid w:val="00076127"/>
    <w:rsid w:val="00514C3C"/>
    <w:rsid w:val="00C2372D"/>
    <w:rsid w:val="00CB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BC8D62"/>
  <w15:chartTrackingRefBased/>
  <w15:docId w15:val="{9ACA85CC-625D-4147-BA76-FA3AA9205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0A98"/>
    <w:pPr>
      <w:spacing w:after="160" w:line="259" w:lineRule="auto"/>
    </w:pPr>
    <w:rPr>
      <w:rFonts w:ascii="Calibri" w:eastAsia="Calibri" w:hAnsi="Calibri" w:cs="Calibri"/>
      <w:kern w:val="0"/>
      <w:sz w:val="22"/>
      <w:szCs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B0A98"/>
    <w:rPr>
      <w:color w:val="0563C1" w:themeColor="hyperlink"/>
      <w:u w:val="single"/>
    </w:rPr>
  </w:style>
  <w:style w:type="paragraph" w:styleId="Rodap">
    <w:name w:val="footer"/>
    <w:basedOn w:val="Normal"/>
    <w:link w:val="RodapChar"/>
    <w:uiPriority w:val="99"/>
    <w:unhideWhenUsed/>
    <w:rsid w:val="00CB0A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B0A98"/>
    <w:rPr>
      <w:rFonts w:ascii="Calibri" w:eastAsia="Calibri" w:hAnsi="Calibri" w:cs="Calibri"/>
      <w:kern w:val="0"/>
      <w:sz w:val="22"/>
      <w:szCs w:val="22"/>
      <w:lang w:eastAsia="pt-BR"/>
      <w14:ligatures w14:val="none"/>
    </w:rPr>
  </w:style>
  <w:style w:type="character" w:styleId="Nmerodepgina">
    <w:name w:val="page number"/>
    <w:basedOn w:val="Fontepargpadro"/>
    <w:uiPriority w:val="99"/>
    <w:semiHidden/>
    <w:unhideWhenUsed/>
    <w:rsid w:val="00CB0A98"/>
  </w:style>
  <w:style w:type="paragraph" w:styleId="Reviso">
    <w:name w:val="Revision"/>
    <w:hidden/>
    <w:uiPriority w:val="99"/>
    <w:semiHidden/>
    <w:rsid w:val="00514C3C"/>
    <w:rPr>
      <w:rFonts w:ascii="Calibri" w:eastAsia="Calibri" w:hAnsi="Calibri" w:cs="Calibri"/>
      <w:kern w:val="0"/>
      <w:sz w:val="22"/>
      <w:szCs w:val="22"/>
      <w:lang w:eastAsia="pt-BR"/>
      <w14:ligatures w14:val="none"/>
    </w:rPr>
  </w:style>
  <w:style w:type="table" w:styleId="TabelaSimples4">
    <w:name w:val="Plain Table 4"/>
    <w:basedOn w:val="Tabelanormal"/>
    <w:uiPriority w:val="44"/>
    <w:rsid w:val="00514C3C"/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oPendente">
    <w:name w:val="Unresolved Mention"/>
    <w:basedOn w:val="Fontepargpadro"/>
    <w:uiPriority w:val="99"/>
    <w:semiHidden/>
    <w:unhideWhenUsed/>
    <w:rsid w:val="000761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rrYuusKWkI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chmtl.indiana.edu/borrowing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anppom.org.br/anais/anaiscongresso_anppom_2017/5096/public/5096-16512-1-PB.pdf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876</Words>
  <Characters>4735</Characters>
  <Application>Microsoft Office Word</Application>
  <DocSecurity>0</DocSecurity>
  <Lines>39</Lines>
  <Paragraphs>11</Paragraphs>
  <ScaleCrop>false</ScaleCrop>
  <Company/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Petri</dc:creator>
  <cp:keywords/>
  <dc:description/>
  <cp:lastModifiedBy>Ariane Petri</cp:lastModifiedBy>
  <cp:revision>2</cp:revision>
  <dcterms:created xsi:type="dcterms:W3CDTF">2023-07-24T18:46:00Z</dcterms:created>
  <dcterms:modified xsi:type="dcterms:W3CDTF">2023-07-24T18:46:00Z</dcterms:modified>
</cp:coreProperties>
</file>