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BCB" w:rsidRDefault="004C4361">
      <w:r>
        <w:t>Parecer</w:t>
      </w:r>
      <w:r w:rsidR="003C0999">
        <w:t xml:space="preserve"> 1</w:t>
      </w:r>
      <w:bookmarkStart w:id="0" w:name="_GoBack"/>
      <w:bookmarkEnd w:id="0"/>
    </w:p>
    <w:p w:rsidR="004C4361" w:rsidRDefault="004C4361" w:rsidP="004C43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4361">
        <w:rPr>
          <w:rFonts w:ascii="Times New Roman" w:hAnsi="Times New Roman" w:cs="Times New Roman"/>
          <w:sz w:val="24"/>
          <w:szCs w:val="24"/>
        </w:rPr>
        <w:t xml:space="preserve">O artigo “Forças musicais: composição, cognição e cultura </w:t>
      </w:r>
      <w:r>
        <w:rPr>
          <w:rFonts w:ascii="Times New Roman" w:hAnsi="Times New Roman" w:cs="Times New Roman"/>
          <w:sz w:val="24"/>
          <w:szCs w:val="24"/>
        </w:rPr>
        <w:t xml:space="preserve">compondo </w:t>
      </w:r>
      <w:r w:rsidRPr="004C4361">
        <w:rPr>
          <w:rFonts w:ascii="Times New Roman" w:hAnsi="Times New Roman" w:cs="Times New Roman"/>
          <w:sz w:val="24"/>
          <w:szCs w:val="24"/>
        </w:rPr>
        <w:t>entendimentos</w:t>
      </w:r>
      <w:r>
        <w:rPr>
          <w:rFonts w:ascii="Times New Roman" w:hAnsi="Times New Roman" w:cs="Times New Roman"/>
          <w:sz w:val="24"/>
          <w:szCs w:val="24"/>
        </w:rPr>
        <w:t>” aborda um campo do conhecimento em ampla expansão que tem sido abarcado pela</w:t>
      </w:r>
      <w:r w:rsidR="00E25E7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área</w:t>
      </w:r>
      <w:r w:rsidR="00E25E7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de Cognição </w:t>
      </w:r>
      <w:r w:rsidR="00E25E7E">
        <w:rPr>
          <w:rFonts w:ascii="Times New Roman" w:hAnsi="Times New Roman" w:cs="Times New Roman"/>
          <w:sz w:val="24"/>
          <w:szCs w:val="24"/>
        </w:rPr>
        <w:t xml:space="preserve">e Percepção </w:t>
      </w:r>
      <w:r>
        <w:rPr>
          <w:rFonts w:ascii="Times New Roman" w:hAnsi="Times New Roman" w:cs="Times New Roman"/>
          <w:sz w:val="24"/>
          <w:szCs w:val="24"/>
        </w:rPr>
        <w:t>Musical. Não por acaso o artigo menciona Marcos Nogueira como</w:t>
      </w:r>
      <w:r w:rsidR="00E25E7E">
        <w:rPr>
          <w:rFonts w:ascii="Times New Roman" w:hAnsi="Times New Roman" w:cs="Times New Roman"/>
          <w:sz w:val="24"/>
          <w:szCs w:val="24"/>
        </w:rPr>
        <w:t xml:space="preserve"> figura de proa na área, visto sua atuação junto ao SIMCAM – Simpósio de Cognição Musical e a Revista </w:t>
      </w:r>
      <w:proofErr w:type="spellStart"/>
      <w:r w:rsidR="00E25E7E">
        <w:rPr>
          <w:rFonts w:ascii="Times New Roman" w:hAnsi="Times New Roman" w:cs="Times New Roman"/>
          <w:sz w:val="24"/>
          <w:szCs w:val="24"/>
        </w:rPr>
        <w:t>Percepta</w:t>
      </w:r>
      <w:proofErr w:type="spellEnd"/>
      <w:r w:rsidR="00E25E7E">
        <w:rPr>
          <w:rFonts w:ascii="Times New Roman" w:hAnsi="Times New Roman" w:cs="Times New Roman"/>
          <w:sz w:val="24"/>
          <w:szCs w:val="24"/>
        </w:rPr>
        <w:t>.</w:t>
      </w:r>
    </w:p>
    <w:p w:rsidR="00E25E7E" w:rsidRDefault="00E25E7E" w:rsidP="004C43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rigor, portanto, este estudo estaria mais confortável naquele ambiente onde as teorias abordadas são mais familiares aos participantes.</w:t>
      </w:r>
    </w:p>
    <w:p w:rsidR="00E25E7E" w:rsidRDefault="00E25E7E" w:rsidP="004C43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Ainda assim, dado que o artigo é sucinto e objetivo na exposição teórica, além de bem escrito, podemos considerar que sua parte relevante para nosso parecer é sobretudo a que trata de aplicações analíticas a obras diversas do autor. Nesse caso, como estamos no campo da Análise Musical, a pertinência da proposta é justificável e a base teórica u</w:t>
      </w:r>
      <w:r w:rsidR="003C0999">
        <w:rPr>
          <w:rFonts w:ascii="Times New Roman" w:hAnsi="Times New Roman" w:cs="Times New Roman"/>
          <w:sz w:val="24"/>
          <w:szCs w:val="24"/>
        </w:rPr>
        <w:t>sada para as análises uma opção original.</w:t>
      </w:r>
    </w:p>
    <w:p w:rsidR="003C0999" w:rsidRDefault="003C0999" w:rsidP="004C43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 achados analíticos são corretos, embora algo tautológicos. Os movimentos descritos são reconhecidos pela própria percepção superficial implícita das figurações empregadas nas composições. Não obstante o nível da heurística parecer auto evidente, há mérito no trabalho ao abordar algo que muitas vezes é esquecido nas análises que se pretendem profundas em relação aos níveis descritos como estruturais: o que prevalece na nossa percepção é a superfície do discurso e devemos estar atento a ela, sob pena de dar excessiva importância a coisas que em última instância podem ser irrelevantes.</w:t>
      </w:r>
    </w:p>
    <w:p w:rsidR="003C0999" w:rsidRPr="004C4361" w:rsidRDefault="003C0999" w:rsidP="004C43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Creio, por isso, que o artigo merece ser aprovado.</w:t>
      </w:r>
    </w:p>
    <w:sectPr w:rsidR="003C0999" w:rsidRPr="004C43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361"/>
    <w:rsid w:val="00147BCB"/>
    <w:rsid w:val="003C0999"/>
    <w:rsid w:val="004C4361"/>
    <w:rsid w:val="00E2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E1E26-D503-4300-BAB2-C9C1FAA42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Coelho</dc:creator>
  <cp:keywords/>
  <dc:description/>
  <cp:lastModifiedBy>Rodolfo Coelho</cp:lastModifiedBy>
  <cp:revision>2</cp:revision>
  <dcterms:created xsi:type="dcterms:W3CDTF">2018-08-21T00:56:00Z</dcterms:created>
  <dcterms:modified xsi:type="dcterms:W3CDTF">2018-08-21T01:16:00Z</dcterms:modified>
</cp:coreProperties>
</file>