
<file path=[Content_Types].xml><?xml version="1.0" encoding="utf-8"?>
<Types xmlns="http://schemas.openxmlformats.org/package/2006/content-types">
  <Override PartName="/word/document.xml" ContentType="application/vnd.openxmlformats-officedocument.wordprocessingml.document.main+xml"/>
  <Override PartName="/docProps/core.xml" ContentType="application/vnd.openxmlformats-package.core-properties+xml"/>
  <Override PartName="/docProps/app.xml" ContentType="application/vnd.openxmlformats-officedocument.extended-properties+xml"/>
  <Default Extension="jpeg" ContentType="image/jpeg"/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theme/theme1.xml" ContentType="application/vnd.openxmlformats-officedocument.theme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 ve:Ignorable="mv" ve:PreserveAttributes="mv:*">
  <w:body>
    <w:p w:rsidR="00250979" w:rsidRDefault="00D06C02" w:rsidP="000554A8">
      <w:pPr>
        <w:pStyle w:val="TeMAttulo"/>
      </w:pPr>
      <w:r>
        <w:t>Distribuiçã</w:t>
      </w:r>
      <w:r w:rsidR="007B6B30">
        <w:t>o e partição</w:t>
      </w:r>
      <w:r w:rsidR="005D5B2D" w:rsidRPr="005D5B2D">
        <w:t xml:space="preserve"> instrumental nas </w:t>
      </w:r>
      <w:r w:rsidR="005D5B2D" w:rsidRPr="005D5B2D">
        <w:rPr>
          <w:i/>
        </w:rPr>
        <w:t>Variações</w:t>
      </w:r>
      <w:r w:rsidR="001F3C41">
        <w:t xml:space="preserve"> op. 30 de Webern: breves apontamentos</w:t>
      </w:r>
    </w:p>
    <w:p w:rsidR="00250979" w:rsidRDefault="00254A17" w:rsidP="000554A8">
      <w:pPr>
        <w:pStyle w:val="TeMAautor"/>
        <w:rPr>
          <w:vertAlign w:val="superscript"/>
        </w:rPr>
      </w:pPr>
      <w:r>
        <w:t>Didier Guigue</w:t>
      </w:r>
    </w:p>
    <w:p w:rsidR="00254A17" w:rsidRDefault="00254A17" w:rsidP="000554A8">
      <w:pPr>
        <w:pStyle w:val="TeMAemail"/>
      </w:pPr>
      <w:r>
        <w:t>UFPB / Mus</w:t>
      </w:r>
      <w:r w:rsidRPr="00254A17">
        <w:rPr>
          <w:vertAlign w:val="superscript"/>
        </w:rPr>
        <w:t>3</w:t>
      </w:r>
      <w:r>
        <w:t xml:space="preserve"> / CNPQ</w:t>
      </w:r>
    </w:p>
    <w:p w:rsidR="00250979" w:rsidRDefault="00254A17" w:rsidP="000554A8">
      <w:pPr>
        <w:pStyle w:val="TeMAemail"/>
      </w:pPr>
      <w:r>
        <w:t>didierguigue@gmail.com</w:t>
      </w:r>
    </w:p>
    <w:p w:rsidR="00250979" w:rsidRDefault="00250979" w:rsidP="000554A8"/>
    <w:p w:rsidR="00250979" w:rsidRPr="00E00B3D" w:rsidRDefault="00F87303" w:rsidP="000554A8">
      <w:pPr>
        <w:pStyle w:val="TeMAabstract"/>
        <w:rPr>
          <w:rStyle w:val="Abstracttext"/>
          <w:i/>
        </w:rPr>
      </w:pPr>
      <w:r w:rsidRPr="00E00B3D">
        <w:rPr>
          <w:rStyle w:val="Abstracttitle"/>
          <w:i/>
        </w:rPr>
        <w:t xml:space="preserve">Abstract.  </w:t>
      </w:r>
      <w:r w:rsidR="005D5B2D" w:rsidRPr="00E00B3D">
        <w:rPr>
          <w:rStyle w:val="Abstracttext"/>
          <w:i/>
        </w:rPr>
        <w:t xml:space="preserve">This paper </w:t>
      </w:r>
      <w:r w:rsidR="00067BAA" w:rsidRPr="00E00B3D">
        <w:rPr>
          <w:rStyle w:val="Abstracttext"/>
          <w:i/>
        </w:rPr>
        <w:t>releases</w:t>
      </w:r>
      <w:r w:rsidR="005D5B2D" w:rsidRPr="00E00B3D">
        <w:rPr>
          <w:rStyle w:val="Abstracttext"/>
          <w:i/>
        </w:rPr>
        <w:t xml:space="preserve"> part of a research in progress, whose two goals are: (1) to build a method for the analysis of orchestration, which would be able to attend the concept of sonority as a stru</w:t>
      </w:r>
      <w:r w:rsidR="0000288E" w:rsidRPr="00E00B3D">
        <w:rPr>
          <w:rStyle w:val="Abstracttext"/>
          <w:i/>
        </w:rPr>
        <w:t xml:space="preserve">ctural element of musical form; </w:t>
      </w:r>
      <w:r w:rsidR="005D5B2D" w:rsidRPr="00E00B3D">
        <w:rPr>
          <w:rStyle w:val="Abstracttext"/>
          <w:i/>
        </w:rPr>
        <w:t xml:space="preserve">(2) to point out, in </w:t>
      </w:r>
      <w:r w:rsidR="00067BAA" w:rsidRPr="00E00B3D">
        <w:rPr>
          <w:rStyle w:val="Abstracttext"/>
          <w:i/>
        </w:rPr>
        <w:t>Webern’s</w:t>
      </w:r>
      <w:r w:rsidR="005D5B2D" w:rsidRPr="00E00B3D">
        <w:rPr>
          <w:rStyle w:val="Abstracttext"/>
          <w:i/>
        </w:rPr>
        <w:t xml:space="preserve"> Variations op. 30, the interaction between what we define as “primary level” of composition (i.e. the orga</w:t>
      </w:r>
      <w:r w:rsidR="00195554">
        <w:rPr>
          <w:rStyle w:val="Abstracttext"/>
          <w:i/>
        </w:rPr>
        <w:t>nization of motivic-serial mater</w:t>
      </w:r>
      <w:r w:rsidR="005D5B2D" w:rsidRPr="00E00B3D">
        <w:rPr>
          <w:rStyle w:val="Abstracttext"/>
          <w:i/>
        </w:rPr>
        <w:t xml:space="preserve">ial) and the “secundary level”, where are organized the orchestral resources </w:t>
      </w:r>
      <w:r w:rsidR="00067BAA" w:rsidRPr="00E00B3D">
        <w:rPr>
          <w:rStyle w:val="Abstracttext"/>
          <w:i/>
        </w:rPr>
        <w:t>the composer</w:t>
      </w:r>
      <w:r w:rsidR="005D5B2D" w:rsidRPr="00E00B3D">
        <w:rPr>
          <w:rStyle w:val="Abstracttext"/>
          <w:i/>
        </w:rPr>
        <w:t xml:space="preserve"> chose. In this paper, we address only instrumental partitions and textures, and suggest some of their relations with the primary level.</w:t>
      </w:r>
    </w:p>
    <w:p w:rsidR="00250979" w:rsidRDefault="00250979" w:rsidP="000554A8"/>
    <w:p w:rsidR="00250979" w:rsidRDefault="00F87303" w:rsidP="000554A8">
      <w:pPr>
        <w:pStyle w:val="TeMAabstract"/>
        <w:rPr>
          <w:rStyle w:val="Abstracttext"/>
          <w:i/>
        </w:rPr>
      </w:pPr>
      <w:r>
        <w:rPr>
          <w:rStyle w:val="Abstracttitle"/>
        </w:rPr>
        <w:t>Keywords</w:t>
      </w:r>
      <w:r>
        <w:rPr>
          <w:rStyle w:val="Abstracttext"/>
        </w:rPr>
        <w:t xml:space="preserve">: </w:t>
      </w:r>
      <w:r w:rsidR="0000288E">
        <w:rPr>
          <w:rStyle w:val="Abstracttext"/>
        </w:rPr>
        <w:t>Webern</w:t>
      </w:r>
      <w:r w:rsidR="00B80889">
        <w:rPr>
          <w:rStyle w:val="Abstracttext"/>
        </w:rPr>
        <w:t>, Serialism, Orchestration, Texture, Partition.</w:t>
      </w:r>
    </w:p>
    <w:p w:rsidR="00250979" w:rsidRDefault="00250979" w:rsidP="000554A8"/>
    <w:p w:rsidR="00250979" w:rsidRPr="00E00B3D" w:rsidRDefault="00F87303" w:rsidP="000554A8">
      <w:pPr>
        <w:pStyle w:val="TeMAabstract"/>
        <w:rPr>
          <w:rStyle w:val="Abstracttext"/>
          <w:i/>
        </w:rPr>
      </w:pPr>
      <w:r w:rsidRPr="00E00B3D">
        <w:rPr>
          <w:rStyle w:val="Abstracttitle"/>
          <w:i/>
        </w:rPr>
        <w:t xml:space="preserve">Resumo.  </w:t>
      </w:r>
      <w:r w:rsidR="00B80889" w:rsidRPr="00E00B3D">
        <w:rPr>
          <w:i w:val="0"/>
        </w:rPr>
        <w:t xml:space="preserve"> </w:t>
      </w:r>
      <w:r w:rsidR="00B80889" w:rsidRPr="00E00B3D">
        <w:rPr>
          <w:rStyle w:val="Abstracttext"/>
          <w:i/>
        </w:rPr>
        <w:t>Esta comunicação constitui um recorte de uma pesquisa em andamento, que persegue dois objetivos: (1) estabelecer um método de análise da orquestração que venha subsidiar, para esta dimensão específica, o conceito de sonoridade como element</w:t>
      </w:r>
      <w:r w:rsidR="0000288E" w:rsidRPr="00E00B3D">
        <w:rPr>
          <w:rStyle w:val="Abstracttext"/>
          <w:i/>
        </w:rPr>
        <w:t>o estruturante da forma musical</w:t>
      </w:r>
      <w:r w:rsidR="004470A7" w:rsidRPr="00E00B3D">
        <w:rPr>
          <w:rStyle w:val="Abstracttext"/>
          <w:i/>
        </w:rPr>
        <w:t>; (2) evidenciar, nas Variações</w:t>
      </w:r>
      <w:r w:rsidR="00067BAA" w:rsidRPr="00E00B3D">
        <w:rPr>
          <w:rStyle w:val="Abstracttext"/>
          <w:i/>
        </w:rPr>
        <w:t xml:space="preserve"> op. 30 de Webern, a interaçã</w:t>
      </w:r>
      <w:r w:rsidR="00B80889" w:rsidRPr="00E00B3D">
        <w:rPr>
          <w:rStyle w:val="Abstracttext"/>
          <w:i/>
        </w:rPr>
        <w:t xml:space="preserve">o do que chamamos </w:t>
      </w:r>
      <w:r w:rsidR="00D06C02" w:rsidRPr="00E00B3D">
        <w:rPr>
          <w:rStyle w:val="Abstracttext"/>
          <w:i/>
        </w:rPr>
        <w:t>de n</w:t>
      </w:r>
      <w:r w:rsidR="007B6B30" w:rsidRPr="00E00B3D">
        <w:rPr>
          <w:rStyle w:val="Abstracttext"/>
          <w:i/>
        </w:rPr>
        <w:t>ivel "primário" da composição (</w:t>
      </w:r>
      <w:r w:rsidR="00D06C02" w:rsidRPr="00E00B3D">
        <w:rPr>
          <w:rStyle w:val="Abstracttext"/>
          <w:i/>
        </w:rPr>
        <w:t>organização</w:t>
      </w:r>
      <w:r w:rsidR="00B80889" w:rsidRPr="00E00B3D">
        <w:rPr>
          <w:rStyle w:val="Abstracttext"/>
          <w:i/>
        </w:rPr>
        <w:t xml:space="preserve"> do material motívi</w:t>
      </w:r>
      <w:r w:rsidR="00254A17" w:rsidRPr="00E00B3D">
        <w:rPr>
          <w:rStyle w:val="Abstracttext"/>
          <w:i/>
        </w:rPr>
        <w:t>co-serial) com o nivel " sec</w:t>
      </w:r>
      <w:r w:rsidR="00D06C02" w:rsidRPr="00E00B3D">
        <w:rPr>
          <w:rStyle w:val="Abstracttext"/>
          <w:i/>
        </w:rPr>
        <w:t>undá</w:t>
      </w:r>
      <w:r w:rsidR="00B80889" w:rsidRPr="00E00B3D">
        <w:rPr>
          <w:rStyle w:val="Abstracttext"/>
          <w:i/>
        </w:rPr>
        <w:t>rio" que constitu</w:t>
      </w:r>
      <w:r w:rsidR="00254A17" w:rsidRPr="00E00B3D">
        <w:rPr>
          <w:rStyle w:val="Abstracttext"/>
          <w:i/>
        </w:rPr>
        <w:t>i</w:t>
      </w:r>
      <w:r w:rsidR="00D06C02" w:rsidRPr="00E00B3D">
        <w:rPr>
          <w:rStyle w:val="Abstracttext"/>
          <w:i/>
        </w:rPr>
        <w:t xml:space="preserve"> as estratégias de organização</w:t>
      </w:r>
      <w:r w:rsidR="00B80889" w:rsidRPr="00E00B3D">
        <w:rPr>
          <w:rStyle w:val="Abstracttext"/>
          <w:i/>
        </w:rPr>
        <w:t xml:space="preserve"> dos recursos sonoros que </w:t>
      </w:r>
      <w:r w:rsidR="00067BAA" w:rsidRPr="00E00B3D">
        <w:rPr>
          <w:rStyle w:val="Abstracttext"/>
          <w:i/>
        </w:rPr>
        <w:t>o compositor</w:t>
      </w:r>
      <w:r w:rsidR="00B80889" w:rsidRPr="00E00B3D">
        <w:rPr>
          <w:rStyle w:val="Abstracttext"/>
          <w:i/>
        </w:rPr>
        <w:t xml:space="preserve"> escolheu. O recorte</w:t>
      </w:r>
      <w:r w:rsidR="00D06C02" w:rsidRPr="00E00B3D">
        <w:rPr>
          <w:rStyle w:val="Abstracttext"/>
          <w:i/>
        </w:rPr>
        <w:t xml:space="preserve"> aborda, apenas,  a configuração das distribuiçõ</w:t>
      </w:r>
      <w:r w:rsidR="00B80889" w:rsidRPr="00E00B3D">
        <w:rPr>
          <w:rStyle w:val="Abstracttext"/>
          <w:i/>
        </w:rPr>
        <w:t>es instrumentais</w:t>
      </w:r>
      <w:r w:rsidR="00D06C02" w:rsidRPr="00E00B3D">
        <w:rPr>
          <w:rStyle w:val="Abstracttext"/>
          <w:i/>
        </w:rPr>
        <w:t xml:space="preserve"> e das texturas, e sugere relações com a estruturação</w:t>
      </w:r>
      <w:r w:rsidR="00B80889" w:rsidRPr="00E00B3D">
        <w:rPr>
          <w:rStyle w:val="Abstracttext"/>
          <w:i/>
        </w:rPr>
        <w:t xml:space="preserve">  do nivel primário</w:t>
      </w:r>
      <w:r w:rsidR="00C9401C" w:rsidRPr="00E00B3D">
        <w:rPr>
          <w:rStyle w:val="Abstracttext"/>
          <w:i/>
        </w:rPr>
        <w:t>.</w:t>
      </w:r>
      <w:r w:rsidR="001F3C41" w:rsidRPr="00E00B3D">
        <w:rPr>
          <w:rStyle w:val="Abstracttext"/>
          <w:i/>
        </w:rPr>
        <w:t xml:space="preserve"> </w:t>
      </w:r>
    </w:p>
    <w:p w:rsidR="00250979" w:rsidRDefault="00250979" w:rsidP="000554A8">
      <w:pPr>
        <w:pStyle w:val="TeMAabstract"/>
      </w:pPr>
    </w:p>
    <w:p w:rsidR="00FB1FE0" w:rsidRDefault="00F87303" w:rsidP="000554A8">
      <w:pPr>
        <w:pStyle w:val="TeMAabstract"/>
        <w:rPr>
          <w:rStyle w:val="Abstracttext"/>
        </w:rPr>
      </w:pPr>
      <w:r>
        <w:rPr>
          <w:rStyle w:val="Abstracttitle"/>
        </w:rPr>
        <w:t>Palavras-chave</w:t>
      </w:r>
      <w:r>
        <w:rPr>
          <w:rStyle w:val="Abstracttext"/>
        </w:rPr>
        <w:t xml:space="preserve">: </w:t>
      </w:r>
      <w:r w:rsidR="0000288E">
        <w:rPr>
          <w:rStyle w:val="Abstracttext"/>
        </w:rPr>
        <w:t>Webern</w:t>
      </w:r>
      <w:r w:rsidR="00C9401C">
        <w:rPr>
          <w:rStyle w:val="Abstracttext"/>
        </w:rPr>
        <w:t xml:space="preserve">, Serialismo, </w:t>
      </w:r>
      <w:r w:rsidR="0000288E">
        <w:rPr>
          <w:rStyle w:val="Abstracttext"/>
        </w:rPr>
        <w:t>Orquestração, Textura, Partição</w:t>
      </w:r>
      <w:r w:rsidR="00176FC2">
        <w:rPr>
          <w:rStyle w:val="Abstracttext"/>
        </w:rPr>
        <w:t>.</w:t>
      </w:r>
    </w:p>
    <w:p w:rsidR="00250979" w:rsidRPr="00A6519B" w:rsidRDefault="00FB1FE0" w:rsidP="00FB1FE0">
      <w:pPr>
        <w:pStyle w:val="TeMAseo"/>
      </w:pPr>
      <w:r>
        <w:rPr>
          <w:rStyle w:val="Abstracttext"/>
        </w:rPr>
        <w:br w:type="page"/>
      </w:r>
      <w:bookmarkStart w:id="0" w:name="BMsec_gen"/>
      <w:r w:rsidR="00F87303">
        <w:t>1</w:t>
      </w:r>
      <w:bookmarkEnd w:id="0"/>
      <w:r w:rsidR="00F87303">
        <w:t xml:space="preserve">. </w:t>
      </w:r>
      <w:r w:rsidR="00A6519B" w:rsidRPr="00A6519B">
        <w:t xml:space="preserve">As </w:t>
      </w:r>
      <w:r w:rsidR="00A6519B" w:rsidRPr="00A6519B">
        <w:rPr>
          <w:i/>
        </w:rPr>
        <w:t>Variações</w:t>
      </w:r>
      <w:r w:rsidR="00A6519B" w:rsidRPr="00A6519B">
        <w:t xml:space="preserve"> op. 30 de Webern</w:t>
      </w:r>
    </w:p>
    <w:p w:rsidR="00BF40B1" w:rsidRDefault="00A6519B" w:rsidP="000554A8">
      <w:pPr>
        <w:pStyle w:val="TeMAcorpoTexto"/>
        <w:keepNext w:val="0"/>
      </w:pPr>
      <w:r w:rsidRPr="00A6519B">
        <w:t xml:space="preserve">As </w:t>
      </w:r>
      <w:r w:rsidRPr="00A6519B">
        <w:rPr>
          <w:i/>
        </w:rPr>
        <w:t>Variationen</w:t>
      </w:r>
      <w:r w:rsidRPr="00A6519B">
        <w:t xml:space="preserve"> op. 30 de Webern, de 1940</w:t>
      </w:r>
      <w:r w:rsidR="002B6D7E">
        <w:t xml:space="preserve"> (Webern 1956)</w:t>
      </w:r>
      <w:r w:rsidRPr="00A6519B">
        <w:t xml:space="preserve">, constituem um marco na consolidação do serialismo como técnica composicional. É </w:t>
      </w:r>
      <w:r w:rsidR="00B90C60">
        <w:t>famosa</w:t>
      </w:r>
      <w:r w:rsidRPr="00A6519B">
        <w:t xml:space="preserve"> a sofisticação desta </w:t>
      </w:r>
      <w:r w:rsidR="00067BAA">
        <w:t xml:space="preserve">sua </w:t>
      </w:r>
      <w:r w:rsidRPr="00A6519B">
        <w:t>última série, que explora de modo complexo as simetrias múltiplas. Gerada a partir de um motivo de quatro notas,</w:t>
      </w:r>
      <w:r w:rsidR="007C0509">
        <w:t xml:space="preserve"> o compositor a subdivide em trê</w:t>
      </w:r>
      <w:r w:rsidRPr="00A6519B">
        <w:t>s tetracordes, conforme mostrado na fig</w:t>
      </w:r>
      <w:r w:rsidR="00176FC2">
        <w:t>ura 1</w:t>
      </w:r>
      <w:r w:rsidR="00BF40B1">
        <w:t xml:space="preserve">, </w:t>
      </w:r>
      <w:r w:rsidR="00176FC2">
        <w:t>onde são rotulados O1, O2 e O3.</w:t>
      </w:r>
      <w:r w:rsidRPr="00A6519B">
        <w:t xml:space="preserve"> Mas</w:t>
      </w:r>
      <w:r w:rsidR="00176FC2">
        <w:t xml:space="preserve"> K</w:t>
      </w:r>
      <w:r w:rsidRPr="00A6519B">
        <w:t>athryn Bailey demostra como a 'Gestalt' de Webern é</w:t>
      </w:r>
      <w:r w:rsidR="00176FC2">
        <w:t xml:space="preserve"> também de ordem rítmica (Bailey 1991</w:t>
      </w:r>
      <w:r w:rsidR="00627C7B">
        <w:t>:224</w:t>
      </w:r>
      <w:r w:rsidRPr="00A6519B">
        <w:t xml:space="preserve">). Com efeito, o material serial é sustentado por </w:t>
      </w:r>
      <w:r w:rsidR="00BF40B1">
        <w:t xml:space="preserve">dois motivos rítmicos iniciais, </w:t>
      </w:r>
      <w:r w:rsidR="00BF40B1">
        <w:rPr>
          <w:i/>
        </w:rPr>
        <w:t xml:space="preserve">a </w:t>
      </w:r>
      <w:r w:rsidR="00BF40B1">
        <w:t xml:space="preserve"> e </w:t>
      </w:r>
      <w:r w:rsidR="00BF40B1">
        <w:rPr>
          <w:i/>
        </w:rPr>
        <w:t xml:space="preserve">b </w:t>
      </w:r>
      <w:r w:rsidR="00BF40B1">
        <w:t xml:space="preserve"> na figura, </w:t>
      </w:r>
      <w:r w:rsidRPr="00A6519B">
        <w:t>enunciados nos três primeiros compassos e em seguida declinados de modo a permear a obra inteira em todos seus momentos.</w:t>
      </w:r>
    </w:p>
    <w:p w:rsidR="00176FC2" w:rsidRDefault="002B6D7E" w:rsidP="000554A8">
      <w:pPr>
        <w:pStyle w:val="TeMAcorpoTexto"/>
        <w:keepNext w:val="0"/>
      </w:pPr>
      <w:r w:rsidRPr="002B6D7E">
        <w:rPr>
          <w:noProof/>
          <w:lang w:val="fr-FR" w:eastAsia="fr-FR" w:bidi="ar-S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align>outside</wp:align>
            </wp:positionV>
            <wp:extent cx="2880360" cy="1097280"/>
            <wp:effectExtent l="25400" t="0" r="0" b="0"/>
            <wp:wrapNone/>
            <wp:docPr id="6" name="" descr="wbn30_fig001_serieBayle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bn30_fig001_serieBayley.jp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880360" cy="10972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B6D7E" w:rsidRDefault="002B6D7E" w:rsidP="004950A6">
      <w:pPr>
        <w:pStyle w:val="TeMAlegenda"/>
      </w:pPr>
    </w:p>
    <w:p w:rsidR="002B6D7E" w:rsidRDefault="002B6D7E" w:rsidP="004950A6">
      <w:pPr>
        <w:pStyle w:val="TeMAlegenda"/>
      </w:pPr>
    </w:p>
    <w:p w:rsidR="002B6D7E" w:rsidRDefault="002B6D7E" w:rsidP="004950A6">
      <w:pPr>
        <w:pStyle w:val="TeMAlegenda"/>
      </w:pPr>
    </w:p>
    <w:p w:rsidR="00FB1FE0" w:rsidRDefault="00FB1FE0" w:rsidP="004950A6">
      <w:pPr>
        <w:pStyle w:val="TeMAlegenda"/>
      </w:pPr>
    </w:p>
    <w:p w:rsidR="00627C7B" w:rsidRPr="00E00B3D" w:rsidRDefault="00176FC2" w:rsidP="004950A6">
      <w:pPr>
        <w:pStyle w:val="TeMAlegenda"/>
      </w:pPr>
      <w:r w:rsidRPr="00E00B3D">
        <w:t xml:space="preserve">Figura 1: </w:t>
      </w:r>
      <w:r w:rsidR="00BF40B1" w:rsidRPr="00E00B3D">
        <w:t>Série e motivos rítmicos originais das Variações. Acima, indicando a subdivisão em 3 tetracordes. Apud Bailey 1991</w:t>
      </w:r>
      <w:r w:rsidR="00794461" w:rsidRPr="00E00B3D">
        <w:t>:224</w:t>
      </w:r>
      <w:r w:rsidR="00BF40B1" w:rsidRPr="00E00B3D">
        <w:t xml:space="preserve">. </w:t>
      </w:r>
    </w:p>
    <w:p w:rsidR="00250979" w:rsidRDefault="000134C5" w:rsidP="000554A8">
      <w:pPr>
        <w:pStyle w:val="TeMAcorpoTexto"/>
        <w:keepNext w:val="0"/>
      </w:pPr>
      <w:r w:rsidRPr="000134C5">
        <w:t>Tanto a gênese quanto o arcabouço for</w:t>
      </w:r>
      <w:r>
        <w:t>mal da obra são bem conhecidos. O</w:t>
      </w:r>
      <w:r w:rsidR="00B90C60">
        <w:t xml:space="preserve"> seu</w:t>
      </w:r>
      <w:r w:rsidRPr="000134C5">
        <w:t xml:space="preserve"> formato geral </w:t>
      </w:r>
      <w:r>
        <w:t xml:space="preserve">se divide </w:t>
      </w:r>
      <w:r w:rsidRPr="000134C5">
        <w:t>em sete seções: Introdução (c. 0-20</w:t>
      </w:r>
      <w:r w:rsidR="002B6D7E">
        <w:rPr>
          <w:rStyle w:val="FootnoteAnchor"/>
        </w:rPr>
        <w:footnoteReference w:id="2"/>
      </w:r>
      <w:r w:rsidRPr="000134C5">
        <w:t>), Tema</w:t>
      </w:r>
      <w:r w:rsidR="00D06C02">
        <w:t xml:space="preserve"> 1</w:t>
      </w:r>
      <w:r w:rsidRPr="000134C5">
        <w:t xml:space="preserve"> (c. 2</w:t>
      </w:r>
      <w:r w:rsidR="00D06C02">
        <w:t xml:space="preserve">1-55), Transição 1 (c. 56-73), </w:t>
      </w:r>
      <w:r w:rsidRPr="000134C5">
        <w:t>Tema</w:t>
      </w:r>
      <w:r w:rsidR="00D06C02">
        <w:t xml:space="preserve"> 2</w:t>
      </w:r>
      <w:r w:rsidRPr="000134C5">
        <w:t xml:space="preserve"> (c. 74-109), Reexposição ('à maneira de desenvolvimento", c. 110-134), Transição</w:t>
      </w:r>
      <w:r w:rsidR="00D06C02">
        <w:t xml:space="preserve"> 2</w:t>
      </w:r>
      <w:r w:rsidRPr="000134C5">
        <w:t xml:space="preserve"> (c</w:t>
      </w:r>
      <w:r w:rsidR="00D06C02">
        <w:t xml:space="preserve">. 135-145) </w:t>
      </w:r>
      <w:r w:rsidR="00313E2C">
        <w:t>e Coda (c. 146-180)</w:t>
      </w:r>
      <w:r w:rsidR="00F87303">
        <w:t>.</w:t>
      </w:r>
    </w:p>
    <w:p w:rsidR="005A0FFC" w:rsidRDefault="005A0FFC" w:rsidP="000554A8">
      <w:pPr>
        <w:pStyle w:val="TeMAsubseo"/>
        <w:keepNext w:val="0"/>
      </w:pPr>
      <w:r>
        <w:t>2.</w:t>
      </w:r>
      <w:r w:rsidR="00627C7B">
        <w:t xml:space="preserve"> Texturas e Partições</w:t>
      </w:r>
    </w:p>
    <w:p w:rsidR="00627C7B" w:rsidRDefault="00067BAA" w:rsidP="000554A8">
      <w:pPr>
        <w:pStyle w:val="TeMAcorpoTexto"/>
        <w:keepNext w:val="0"/>
      </w:pPr>
      <w:r>
        <w:t>Não podia deixar de ser, a sua concepção de orquestração está também intimamente atrelada a suas preocupa</w:t>
      </w:r>
      <w:r w:rsidRPr="00A053D6">
        <w:t>ções</w:t>
      </w:r>
      <w:r>
        <w:t xml:space="preserve"> estruturais, pois a sua polifonia orquestral </w:t>
      </w:r>
      <w:r w:rsidRPr="00F505F4">
        <w:t>corresponde</w:t>
      </w:r>
      <w:r>
        <w:t>ria</w:t>
      </w:r>
      <w:r w:rsidRPr="00F505F4">
        <w:t xml:space="preserve"> « ao ponto extremo de um trabalho motivico-temático ao qual participa a cada instante o conjunto das vozes » (</w:t>
      </w:r>
      <w:r>
        <w:t>Dahlhaus</w:t>
      </w:r>
      <w:r w:rsidRPr="00F505F4">
        <w:t xml:space="preserve"> 2000:31)</w:t>
      </w:r>
      <w:r>
        <w:t>. Uma das dimensões da composição que permite avaliar este trabalho é o que convencionou se chamar de textura, que descreve a</w:t>
      </w:r>
      <w:r w:rsidR="005A0FFC">
        <w:t xml:space="preserve"> distribuição do material musical entre os instrumentos, e o agrupamento destes em fluxos</w:t>
      </w:r>
      <w:r w:rsidR="00627C7B">
        <w:t xml:space="preserve"> mais ou menos independe</w:t>
      </w:r>
      <w:r>
        <w:t>ntes</w:t>
      </w:r>
      <w:r w:rsidR="005A0FFC">
        <w:t>.</w:t>
      </w:r>
      <w:r w:rsidR="00FB1FE0">
        <w:t xml:space="preserve"> </w:t>
      </w:r>
      <w:r w:rsidR="005A0FFC">
        <w:t xml:space="preserve">Para subsidiar uma análise desta dimensão, estamos </w:t>
      </w:r>
      <w:r>
        <w:t>testando uma abordagem baseada</w:t>
      </w:r>
      <w:r w:rsidR="005A0FFC">
        <w:t xml:space="preserve"> na Teoria das Partições na formulação de Pauxy Gentil-Nunes (</w:t>
      </w:r>
      <w:r w:rsidR="00627C7B">
        <w:t xml:space="preserve">Gentil-Nunes </w:t>
      </w:r>
      <w:r w:rsidR="005A0FFC">
        <w:t>2009), a qual refina a proposta metodológica de Wallace Berry (</w:t>
      </w:r>
      <w:r w:rsidR="00627C7B">
        <w:t>Berry 1987</w:t>
      </w:r>
      <w:r w:rsidR="00313E2C">
        <w:t>:184</w:t>
      </w:r>
      <w:r w:rsidR="005A0FFC">
        <w:t>). Na nossa apropriação, a complexidade de uma textura se avalia a partir do índice de dispersão dos seus componentes. Quanto mai</w:t>
      </w:r>
      <w:r w:rsidR="007C0509">
        <w:t>s as partes instrumentais são “</w:t>
      </w:r>
      <w:r w:rsidR="005A0FFC">
        <w:t>ag</w:t>
      </w:r>
      <w:r w:rsidR="007C0509">
        <w:t>lomeradas”</w:t>
      </w:r>
      <w:r w:rsidR="005A0FFC">
        <w:t xml:space="preserve"> – ou seja, configuram homofonia –, </w:t>
      </w:r>
      <w:r w:rsidR="007C0509">
        <w:t>quanto mais a textura resulta “simples”</w:t>
      </w:r>
      <w:r w:rsidR="005A0FFC">
        <w:t>, e reversamente quando “dispersas”. No modelo proposto por Gentil-Nunes, as partições possíveis para um número inteiro qualquer se organizem de forma vetorial a partir da aglomeração. Desta maneira,  um conjunto de cinco instrumento</w:t>
      </w:r>
      <w:r w:rsidR="007C0509">
        <w:t>s, por exemplo, apresenta uma “soma-léxica”</w:t>
      </w:r>
      <w:r w:rsidR="005A0FFC">
        <w:t xml:space="preserve"> de 18 partições, que se pode representar da seguinte forma:</w:t>
      </w:r>
    </w:p>
    <w:p w:rsidR="00627C7B" w:rsidRDefault="00627C7B" w:rsidP="000554A8">
      <w:pPr>
        <w:pStyle w:val="TeMAcorpoTexto"/>
        <w:keepNext w:val="0"/>
        <w:jc w:val="center"/>
      </w:pPr>
      <w:r w:rsidRPr="00627C7B">
        <w:rPr>
          <w:i/>
        </w:rPr>
        <w:t>lex(5)</w:t>
      </w:r>
      <w:r w:rsidRPr="00627C7B">
        <w:t xml:space="preserve"> = {5, 41, 32, 311, 221, 2111, 11111, 4, 31, 22, 211, 1111, 3, 21, 111, 2, 11, 1},</w:t>
      </w:r>
    </w:p>
    <w:p w:rsidR="00627C7B" w:rsidRDefault="00627C7B" w:rsidP="000554A8">
      <w:pPr>
        <w:pStyle w:val="TeMAcorpoTexto"/>
        <w:keepNext w:val="0"/>
      </w:pPr>
      <w:r>
        <w:t>onde a partição {1</w:t>
      </w:r>
      <w:r w:rsidR="00794461">
        <w:t xml:space="preserve"> 1 1 1 1} indica que todas as “vozes”</w:t>
      </w:r>
      <w:r>
        <w:t xml:space="preserve"> são independentes, como numa polifonia, qualificando assim a textura como complexa, e {5}, que todos os instrumentos tocam um acorde ou em uníssono, com uma textura resultante qualifi</w:t>
      </w:r>
      <w:r w:rsidR="00313E2C">
        <w:t>cada como simples (Gentil-Nunes</w:t>
      </w:r>
      <w:r>
        <w:t xml:space="preserve"> 2009:16). </w:t>
      </w:r>
    </w:p>
    <w:p w:rsidR="00627C7B" w:rsidRDefault="00627C7B" w:rsidP="000554A8">
      <w:pPr>
        <w:pStyle w:val="TeMAcorpoTexto"/>
        <w:keepNext w:val="0"/>
      </w:pPr>
      <w:r>
        <w:t>Esta teoria, no entanto, não orienta quanto aos critérios que é preciso usar para determinar o léxico da partição. Baseados, em p</w:t>
      </w:r>
      <w:r w:rsidR="00313E2C">
        <w:t xml:space="preserve">arte, ainda em Berry (op. cit.: </w:t>
      </w:r>
      <w:r>
        <w:t xml:space="preserve">193), determinamos que estes poderiam ser, para esta obra, de dois tipos: </w:t>
      </w:r>
    </w:p>
    <w:p w:rsidR="00627C7B" w:rsidRDefault="00627C7B" w:rsidP="000554A8">
      <w:pPr>
        <w:pStyle w:val="TeMAcorpoTexto"/>
        <w:keepNext w:val="0"/>
        <w:ind w:left="283"/>
      </w:pPr>
      <w:r>
        <w:t>(1)</w:t>
      </w:r>
      <w:r>
        <w:tab/>
        <w:t>Heteroritmia: ou seja, divergência de estruturas rítmicas e assincronia de fases;</w:t>
      </w:r>
    </w:p>
    <w:p w:rsidR="00627C7B" w:rsidRDefault="00627C7B" w:rsidP="000554A8">
      <w:pPr>
        <w:pStyle w:val="TeMAcorpoTexto"/>
        <w:keepNext w:val="0"/>
        <w:ind w:left="283"/>
      </w:pPr>
      <w:r>
        <w:t>(2)</w:t>
      </w:r>
      <w:r>
        <w:tab/>
        <w:t>Heterodirecionalidade: as vozes evoluem em sentidos diferenciados, podendo ser inclusive em movimento contrário.</w:t>
      </w:r>
    </w:p>
    <w:p w:rsidR="00627C7B" w:rsidRPr="00FA0EFA" w:rsidRDefault="00627C7B" w:rsidP="000554A8">
      <w:pPr>
        <w:pStyle w:val="TeMAcorpoTexto"/>
        <w:keepNext w:val="0"/>
        <w:rPr>
          <w:strike/>
        </w:rPr>
      </w:pPr>
      <w:r>
        <w:t>Consideramos, de modo e</w:t>
      </w:r>
      <w:r w:rsidR="00FF72F1">
        <w:t>mpírico, que o primeiro agente possui mais impacto na percepçã</w:t>
      </w:r>
      <w:r>
        <w:t>o de uma fissão sonora que o segundo. O segundo é escolhido quando o primeiro for inativo ou quando ele aparece</w:t>
      </w:r>
      <w:r w:rsidR="00B90C60">
        <w:t>r</w:t>
      </w:r>
      <w:r>
        <w:t xml:space="preserve"> como predominante no contexto</w:t>
      </w:r>
      <w:r w:rsidR="00BF6F3A" w:rsidRPr="00027C7C">
        <w:rPr>
          <w:rStyle w:val="FootnoteAnchor"/>
        </w:rPr>
        <w:footnoteReference w:id="3"/>
      </w:r>
      <w:r w:rsidR="00313E2C" w:rsidRPr="00027C7C">
        <w:t>.</w:t>
      </w:r>
    </w:p>
    <w:p w:rsidR="00250979" w:rsidRDefault="00313E2C" w:rsidP="000554A8">
      <w:pPr>
        <w:pStyle w:val="TeMAseo"/>
        <w:keepNext w:val="0"/>
      </w:pPr>
      <w:r>
        <w:t>3. Apontamentos sobre a função formal da orquestração a partir da distribuição e partição dos instrumentos</w:t>
      </w:r>
    </w:p>
    <w:p w:rsidR="00BF6F3A" w:rsidRPr="00FB1FE0" w:rsidRDefault="00313E2C" w:rsidP="00E00B3D">
      <w:pPr>
        <w:pStyle w:val="TeMAcorpoTexto"/>
        <w:keepNext w:val="0"/>
        <w:spacing w:after="60"/>
        <w:rPr>
          <w:u w:color="FF0000"/>
        </w:rPr>
      </w:pPr>
      <w:r>
        <w:rPr>
          <w:u w:color="FF0000"/>
        </w:rPr>
        <w:t>Em Webern, as premissas seriais tornam sist</w:t>
      </w:r>
      <w:r w:rsidR="00254A17">
        <w:rPr>
          <w:rFonts w:hAnsi="Garamond"/>
          <w:u w:color="FF0000"/>
        </w:rPr>
        <w:t>ê</w:t>
      </w:r>
      <w:r>
        <w:rPr>
          <w:u w:color="FF0000"/>
        </w:rPr>
        <w:t xml:space="preserve">mica a heteroritmia </w:t>
      </w:r>
      <w:r>
        <w:rPr>
          <w:rFonts w:hAnsi="Garamond"/>
          <w:u w:color="FF0000"/>
        </w:rPr>
        <w:t>–</w:t>
      </w:r>
      <w:r>
        <w:rPr>
          <w:rFonts w:hAnsi="Garamond"/>
          <w:u w:color="FF0000"/>
        </w:rPr>
        <w:t xml:space="preserve"> </w:t>
      </w:r>
      <w:r>
        <w:rPr>
          <w:u w:color="FF0000"/>
          <w:lang w:val="es-ES_tradnl"/>
        </w:rPr>
        <w:t>por conta, notadamente, de t</w:t>
      </w:r>
      <w:r>
        <w:rPr>
          <w:rFonts w:hAnsi="Garamond"/>
          <w:u w:color="FF0000"/>
        </w:rPr>
        <w:t>é</w:t>
      </w:r>
      <w:r>
        <w:rPr>
          <w:u w:color="FF0000"/>
        </w:rPr>
        <w:t>cnicas oriundas do contraponto e c</w:t>
      </w:r>
      <w:r>
        <w:rPr>
          <w:rFonts w:hAnsi="Garamond"/>
          <w:u w:color="FF0000"/>
        </w:rPr>
        <w:t>â</w:t>
      </w:r>
      <w:r>
        <w:rPr>
          <w:u w:color="FF0000"/>
        </w:rPr>
        <w:t>none</w:t>
      </w:r>
      <w:r>
        <w:rPr>
          <w:rFonts w:hAnsi="Garamond"/>
          <w:u w:color="FF0000"/>
        </w:rPr>
        <w:t> –</w:t>
      </w:r>
      <w:r>
        <w:rPr>
          <w:rFonts w:hAnsi="Garamond"/>
          <w:u w:color="FF0000"/>
        </w:rPr>
        <w:t xml:space="preserve"> </w:t>
      </w:r>
      <w:r>
        <w:rPr>
          <w:u w:color="FF0000"/>
          <w:lang w:val="it-IT"/>
        </w:rPr>
        <w:t>a qual, na an</w:t>
      </w:r>
      <w:r>
        <w:rPr>
          <w:rFonts w:hAnsi="Garamond"/>
          <w:u w:color="FF0000"/>
        </w:rPr>
        <w:t>á</w:t>
      </w:r>
      <w:r>
        <w:rPr>
          <w:u w:color="FF0000"/>
        </w:rPr>
        <w:t>lise, se comprova ser um agente permanentemente ativo de dispers</w:t>
      </w:r>
      <w:r>
        <w:rPr>
          <w:rFonts w:hAnsi="Garamond"/>
          <w:u w:color="FF0000"/>
        </w:rPr>
        <w:t>ã</w:t>
      </w:r>
      <w:r>
        <w:rPr>
          <w:u w:color="FF0000"/>
        </w:rPr>
        <w:t>o</w:t>
      </w:r>
      <w:r w:rsidR="00794461">
        <w:rPr>
          <w:rStyle w:val="FootnoteAnchor"/>
        </w:rPr>
        <w:footnoteReference w:id="4"/>
      </w:r>
      <w:r>
        <w:rPr>
          <w:u w:color="FF0000"/>
        </w:rPr>
        <w:t xml:space="preserve">. Nisto, o segundo Tema se destaca, no sentido que ele </w:t>
      </w:r>
      <w:r>
        <w:rPr>
          <w:rFonts w:hAnsi="Garamond"/>
          <w:u w:color="FF0000"/>
        </w:rPr>
        <w:t>é</w:t>
      </w:r>
      <w:r>
        <w:rPr>
          <w:rFonts w:hAnsi="Garamond"/>
          <w:u w:color="FF0000"/>
        </w:rPr>
        <w:t xml:space="preserve"> </w:t>
      </w:r>
      <w:r>
        <w:rPr>
          <w:u w:color="FF0000"/>
        </w:rPr>
        <w:t>constitu</w:t>
      </w:r>
      <w:r>
        <w:rPr>
          <w:rFonts w:hAnsi="Garamond"/>
          <w:u w:color="FF0000"/>
        </w:rPr>
        <w:t>í</w:t>
      </w:r>
      <w:r>
        <w:rPr>
          <w:u w:color="FF0000"/>
        </w:rPr>
        <w:t xml:space="preserve">do quase exclusivamente de </w:t>
      </w:r>
      <w:r w:rsidRPr="00254A17">
        <w:rPr>
          <w:i/>
          <w:u w:color="FF0000"/>
        </w:rPr>
        <w:t>Setups</w:t>
      </w:r>
      <w:r w:rsidR="00FA0EFA" w:rsidRPr="00FA0EFA">
        <w:rPr>
          <w:rStyle w:val="FootnoteAnchor"/>
        </w:rPr>
        <w:footnoteReference w:id="5"/>
      </w:r>
      <w:r w:rsidR="00FA0EFA" w:rsidRPr="00FA0EFA">
        <w:t xml:space="preserve"> </w:t>
      </w:r>
      <w:r>
        <w:rPr>
          <w:u w:color="FF0000"/>
        </w:rPr>
        <w:t xml:space="preserve"> de um ou dois </w:t>
      </w:r>
      <w:r w:rsidR="00A623FD">
        <w:rPr>
          <w:u w:color="FF0000"/>
        </w:rPr>
        <w:t>instr</w:t>
      </w:r>
      <w:r w:rsidR="002810CA">
        <w:rPr>
          <w:u w:color="FF0000"/>
        </w:rPr>
        <w:t>umentos, nunca aglomerados</w:t>
      </w:r>
      <w:r w:rsidR="00A623FD">
        <w:rPr>
          <w:u w:color="FF0000"/>
        </w:rPr>
        <w:t>.</w:t>
      </w:r>
      <w:r w:rsidR="00FB1FE0">
        <w:rPr>
          <w:u w:color="FF0000"/>
        </w:rPr>
        <w:t xml:space="preserve"> </w:t>
      </w:r>
      <w:r w:rsidR="00BF6F3A" w:rsidRPr="00BF6F3A">
        <w:t xml:space="preserve">Porém, o índice de dispersão não diminui em proporção ao aumento de recursos instrumentais: ao contrário, ele permanece quase sempre elevado, de modo que mesmo quando convoca muitos recursos, o compositor ainda pouco os aglomera. Os mais notáveis exemplos desta escrita se encontram nos c. 140-141 e 179. Se o </w:t>
      </w:r>
      <w:r w:rsidR="00BF6F3A" w:rsidRPr="00254A17">
        <w:rPr>
          <w:i/>
        </w:rPr>
        <w:t>Setup</w:t>
      </w:r>
      <w:r w:rsidR="00BF6F3A" w:rsidRPr="00BF6F3A">
        <w:t xml:space="preserve"> do c. 179 ainda aglutina três madeiras, formando a partição {3 1 1 1 1 1 1 1}, o dos c. </w:t>
      </w:r>
      <w:r w:rsidR="00254A17">
        <w:t>140-141 dispersa</w:t>
      </w:r>
      <w:r w:rsidR="00FF72F1">
        <w:t xml:space="preserve"> as oito vozes.</w:t>
      </w:r>
    </w:p>
    <w:p w:rsidR="00CF187E" w:rsidRDefault="00CF187E" w:rsidP="00E00B3D">
      <w:pPr>
        <w:pStyle w:val="TeMAcorpoTexto"/>
      </w:pPr>
      <w:r>
        <w:t>Mas q</w:t>
      </w:r>
      <w:r w:rsidRPr="00CF187E">
        <w:t>uando Webern convoca</w:t>
      </w:r>
      <w:r>
        <w:t xml:space="preserve"> um grande número de instrument</w:t>
      </w:r>
      <w:r w:rsidRPr="00CF187E">
        <w:t>o</w:t>
      </w:r>
      <w:r>
        <w:t>s</w:t>
      </w:r>
      <w:r w:rsidRPr="00CF187E">
        <w:t xml:space="preserve"> em textura espessa, isto causa evento sonoro excepcional. A Transição 1, em particular, concentra dois </w:t>
      </w:r>
      <w:r w:rsidR="007C6894" w:rsidRPr="00C52C23">
        <w:rPr>
          <w:i/>
        </w:rPr>
        <w:t>Setup</w:t>
      </w:r>
      <w:r w:rsidRPr="00C52C23">
        <w:rPr>
          <w:i/>
        </w:rPr>
        <w:t>s</w:t>
      </w:r>
      <w:r w:rsidRPr="00CF187E">
        <w:t xml:space="preserve"> excepcionalmente densos, pois que envolvem 16 e 11 partes instrumentais, respectivamente (c. 63 e 69</w:t>
      </w:r>
      <w:r w:rsidRPr="00D427B9">
        <w:t xml:space="preserve">, fig. </w:t>
      </w:r>
      <w:r w:rsidR="00FF72F1">
        <w:t>2</w:t>
      </w:r>
      <w:r w:rsidRPr="00D427B9">
        <w:t>). Esses</w:t>
      </w:r>
      <w:r w:rsidR="007C6894">
        <w:t xml:space="preserve"> eventos notáveis encontrarão e</w:t>
      </w:r>
      <w:r w:rsidRPr="00CF187E">
        <w:t xml:space="preserve">co distante no final da Coda, em ponto também culminante, como se fosse uma reminiscência: é o c. 168, que solicita 15 partes. Aliás, são muitos os pontos em comum entre os três objetos </w:t>
      </w:r>
      <w:r w:rsidR="00341D92">
        <w:t>sonoros mais salientes da obra.</w:t>
      </w:r>
      <w:r w:rsidRPr="00CF187E">
        <w:t xml:space="preserve"> Encontramos exatamente o mesmo acorde nos c.</w:t>
      </w:r>
      <w:r w:rsidR="00D427B9">
        <w:t xml:space="preserve"> 69 e </w:t>
      </w:r>
      <w:r w:rsidR="002810CA">
        <w:t>168, a</w:t>
      </w:r>
      <w:r w:rsidR="00D427B9">
        <w:t>tribuído nas duas vezes aos metais, em dinâmica</w:t>
      </w:r>
      <w:r>
        <w:t xml:space="preserve"> </w:t>
      </w:r>
      <w:r w:rsidR="00D427B9">
        <w:t>espelhada</w:t>
      </w:r>
      <w:r>
        <w:t xml:space="preserve"> (</w:t>
      </w:r>
      <w:r w:rsidRPr="00CF187E">
        <w:t xml:space="preserve">de </w:t>
      </w:r>
      <w:r w:rsidRPr="00CF187E">
        <w:rPr>
          <w:i/>
        </w:rPr>
        <w:t>p crescendo</w:t>
      </w:r>
      <w:r w:rsidRPr="00CF187E">
        <w:t xml:space="preserve"> para </w:t>
      </w:r>
      <w:r w:rsidRPr="00CF187E">
        <w:rPr>
          <w:i/>
        </w:rPr>
        <w:t>p diminuendo</w:t>
      </w:r>
      <w:r w:rsidR="00B90C60">
        <w:t>)</w:t>
      </w:r>
      <w:r w:rsidRPr="00CF187E">
        <w:t xml:space="preserve">. As cordas funcionam sempre como pontuação sonora, por meio de </w:t>
      </w:r>
      <w:r w:rsidRPr="00CF187E">
        <w:rPr>
          <w:i/>
        </w:rPr>
        <w:t>pizz</w:t>
      </w:r>
      <w:r>
        <w:t xml:space="preserve">. </w:t>
      </w:r>
      <w:r w:rsidRPr="00CF187E">
        <w:t>ou acordes curtos. Quarteto de madeira</w:t>
      </w:r>
      <w:r w:rsidR="0085519A">
        <w:t>s</w:t>
      </w:r>
      <w:r w:rsidRPr="00CF187E">
        <w:t xml:space="preserve"> e quarteto de metais se respondem (em ordem invertido no c. 70.3-71), com acordes breves cuj</w:t>
      </w:r>
      <w:r w:rsidR="007C6894">
        <w:t>o segundo forma uma espécie de e</w:t>
      </w:r>
      <w:r w:rsidRPr="00CF187E">
        <w:t xml:space="preserve">co ao primeiro. A harpa intervem sempre com tetracordes, com ênfase </w:t>
      </w:r>
      <w:r>
        <w:t xml:space="preserve">na </w:t>
      </w:r>
      <w:r w:rsidRPr="00CF187E">
        <w:t xml:space="preserve">estrutura intervalar mais dissonante </w:t>
      </w:r>
      <w:r w:rsidR="00A623FD">
        <w:t>do material ha</w:t>
      </w:r>
      <w:r w:rsidR="00D427B9">
        <w:t>rmônico da peça</w:t>
      </w:r>
      <w:r w:rsidR="00D427B9">
        <w:rPr>
          <w:rStyle w:val="FootnoteAnchor"/>
        </w:rPr>
        <w:footnoteReference w:id="6"/>
      </w:r>
      <w:r w:rsidR="00D427B9" w:rsidRPr="00CF187E">
        <w:t xml:space="preserve"> </w:t>
      </w:r>
      <w:r w:rsidRPr="00CF187E">
        <w:t>(nos c. 68 e 167).</w:t>
      </w:r>
    </w:p>
    <w:p w:rsidR="00693889" w:rsidRDefault="00693889" w:rsidP="007605B9">
      <w:pPr>
        <w:pStyle w:val="TeMAseo"/>
        <w:keepNext w:val="0"/>
        <w:jc w:val="center"/>
      </w:pPr>
      <w:r>
        <w:rPr>
          <w:noProof/>
          <w:lang w:val="fr-FR" w:eastAsia="fr-FR" w:bidi="ar-SA"/>
        </w:rPr>
        <w:drawing>
          <wp:inline distT="0" distB="0" distL="0" distR="0">
            <wp:extent cx="4087184" cy="4501957"/>
            <wp:effectExtent l="25400" t="0" r="2216" b="0"/>
            <wp:docPr id="1" name="Image 0" descr="wbn30_canvas63-168-semquadros-semrsc-p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bn30_canvas63-168-semquadros-semrsc-pb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93795" cy="45092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3889" w:rsidRPr="007C6894" w:rsidRDefault="00693889" w:rsidP="004950A6">
      <w:pPr>
        <w:pStyle w:val="TeMAlegenda"/>
      </w:pPr>
      <w:r w:rsidRPr="007C6894">
        <w:t xml:space="preserve">Figura 2: </w:t>
      </w:r>
      <w:r w:rsidRPr="007C6894">
        <w:rPr>
          <w:i/>
        </w:rPr>
        <w:t>Variações</w:t>
      </w:r>
      <w:r w:rsidRPr="007C6894">
        <w:t xml:space="preserve">, </w:t>
      </w:r>
      <w:r w:rsidR="007C6894" w:rsidRPr="00C52C23">
        <w:rPr>
          <w:i/>
        </w:rPr>
        <w:t>Setup</w:t>
      </w:r>
      <w:r w:rsidRPr="00C52C23">
        <w:rPr>
          <w:i/>
        </w:rPr>
        <w:t>s</w:t>
      </w:r>
      <w:r w:rsidRPr="007C6894">
        <w:t xml:space="preserve"> mais densos da obra. C. 63, 68-71, 167-168 (apud ed. </w:t>
      </w:r>
      <w:r w:rsidRPr="007C6894">
        <w:rPr>
          <w:i/>
        </w:rPr>
        <w:t>Philharmonia</w:t>
      </w:r>
      <w:r w:rsidRPr="007C6894">
        <w:t>), com realce das semelhanças de material.</w:t>
      </w:r>
    </w:p>
    <w:p w:rsidR="00CF187E" w:rsidRDefault="00C26BD7" w:rsidP="006D4E95">
      <w:pPr>
        <w:suppressAutoHyphens w:val="0"/>
        <w:overflowPunct/>
      </w:pPr>
      <w:r w:rsidRPr="00C26BD7">
        <w:t xml:space="preserve">Outro aspecto importante da organização textural desta peça decorre do recorte sistemático das séries em </w:t>
      </w:r>
      <w:r>
        <w:t>tetracordes:</w:t>
      </w:r>
      <w:r w:rsidRPr="00C26BD7">
        <w:t xml:space="preserve"> pois que todas as aglomerações acórdicas da obra são em grupos de 4 partes instrumentais</w:t>
      </w:r>
      <w:r w:rsidR="00B90C60">
        <w:t>, que tocam as 4 classes de altura do conjunto</w:t>
      </w:r>
      <w:r w:rsidRPr="00C26BD7">
        <w:t>. Os c. 60-63 constituem um bom exemplo de como Webern joga uns contra os outros tetracordes homofônicos, sub-conjuntos de versões da série</w:t>
      </w:r>
      <w:r w:rsidR="002810CA">
        <w:t xml:space="preserve"> (a figura 2</w:t>
      </w:r>
      <w:r>
        <w:t xml:space="preserve"> mostra o c. 63)</w:t>
      </w:r>
      <w:r w:rsidRPr="00C26BD7">
        <w:t>. Mas, ainda mais notável neste ponto de vista é o Tema 1,  única seção da peça que se vale de partições de tipo solista + acompanhamento. Este « classicismo » na apresentação temática – num sentido que remete claramen</w:t>
      </w:r>
      <w:r w:rsidR="002810CA">
        <w:t>te à uma prática schoenbergiana</w:t>
      </w:r>
      <w:r w:rsidRPr="00C26BD7">
        <w:t>, e, por além desta, naturalmente, à prática comum da música dos períodos anteriores – é exclusiva deste Tema, mostrando o quanto Webern valorizava as convenções tradicionais em momentos onde achava que constituiam a melhor solução para a percepção das ideias musicais. Nest</w:t>
      </w:r>
      <w:r>
        <w:t xml:space="preserve">e sentido, cuide de sintonizar os </w:t>
      </w:r>
      <w:r w:rsidRPr="00C26BD7">
        <w:t>dois níveis: ao enfatizar o recorte temático, a orquestração retorna à sua função histórica</w:t>
      </w:r>
      <w:r w:rsidR="00FF72F1">
        <w:t xml:space="preserve"> (figura 3</w:t>
      </w:r>
      <w:r>
        <w:t>)</w:t>
      </w:r>
      <w:r w:rsidRPr="00C26BD7">
        <w:t>.</w:t>
      </w:r>
    </w:p>
    <w:p w:rsidR="00CF187E" w:rsidRDefault="00C26BD7" w:rsidP="007605B9">
      <w:pPr>
        <w:pStyle w:val="TeMAseo"/>
        <w:keepNext w:val="0"/>
        <w:jc w:val="center"/>
      </w:pPr>
      <w:r>
        <w:rPr>
          <w:noProof/>
          <w:lang w:val="fr-FR" w:eastAsia="fr-FR" w:bidi="ar-SA"/>
        </w:rPr>
        <w:drawing>
          <wp:inline distT="0" distB="0" distL="0" distR="0">
            <wp:extent cx="3175000" cy="3815040"/>
            <wp:effectExtent l="25400" t="0" r="0" b="0"/>
            <wp:docPr id="14" name="" descr="wbn30_canvastema1-p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bn30_canvastema1-pb.jpg"/>
                    <pic:cNvPicPr/>
                  </pic:nvPicPr>
                  <pic:blipFill>
                    <a:blip r:embed="rId7"/>
                    <a:srcRect b="9541"/>
                    <a:stretch>
                      <a:fillRect/>
                    </a:stretch>
                  </pic:blipFill>
                  <pic:spPr>
                    <a:xfrm>
                      <a:off x="0" y="0"/>
                      <a:ext cx="3175000" cy="3815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187E" w:rsidRPr="007C6894" w:rsidRDefault="00FF72F1" w:rsidP="004950A6">
      <w:pPr>
        <w:pStyle w:val="TeMAlegenda"/>
      </w:pPr>
      <w:r w:rsidRPr="007C6894">
        <w:t>Figura 3</w:t>
      </w:r>
      <w:r w:rsidR="00C26BD7" w:rsidRPr="007C6894">
        <w:t xml:space="preserve">: </w:t>
      </w:r>
      <w:r w:rsidR="00C26BD7" w:rsidRPr="007C6894">
        <w:rPr>
          <w:i/>
        </w:rPr>
        <w:t>Variações</w:t>
      </w:r>
      <w:r w:rsidR="00C26BD7" w:rsidRPr="007C6894">
        <w:t xml:space="preserve">, c. 19-17, início do Tema 1 (apud ed. </w:t>
      </w:r>
      <w:r w:rsidR="00C26BD7" w:rsidRPr="007C6894">
        <w:rPr>
          <w:i/>
        </w:rPr>
        <w:t>Philharmonia</w:t>
      </w:r>
      <w:r w:rsidR="00C26BD7" w:rsidRPr="007C6894">
        <w:t xml:space="preserve">). Os tetracordes seriais são rotulados da forma convencional (O, I, R, RI) seguido do número do tetracorde (1, 2, 3) e do motivo rítmico (cf. Fig. 1). </w:t>
      </w:r>
      <w:r w:rsidR="0056450E" w:rsidRPr="007C6894">
        <w:t xml:space="preserve">Os retângulos desmarcam os </w:t>
      </w:r>
      <w:r w:rsidR="007C6894" w:rsidRPr="00C52C23">
        <w:rPr>
          <w:i/>
        </w:rPr>
        <w:t>Setup</w:t>
      </w:r>
      <w:r w:rsidR="0056450E" w:rsidRPr="00C52C23">
        <w:rPr>
          <w:i/>
        </w:rPr>
        <w:t>s</w:t>
      </w:r>
      <w:r w:rsidR="0056450E" w:rsidRPr="007C6894">
        <w:t xml:space="preserve"> instrumentais.</w:t>
      </w:r>
    </w:p>
    <w:p w:rsidR="002A7E31" w:rsidRDefault="00C26BD7" w:rsidP="0056450E">
      <w:pPr>
        <w:pStyle w:val="TeMAcorpoTexto"/>
        <w:keepNext w:val="0"/>
        <w:rPr>
          <w:b/>
        </w:rPr>
      </w:pPr>
      <w:r w:rsidRPr="00C26BD7">
        <w:t xml:space="preserve">A estabilidade deste arranjo textural é excepcional: é no início deste tema que encontramos o </w:t>
      </w:r>
      <w:r w:rsidR="007C6894" w:rsidRPr="007C6894">
        <w:rPr>
          <w:i/>
        </w:rPr>
        <w:t>Setup</w:t>
      </w:r>
      <w:r w:rsidRPr="00C26BD7">
        <w:t xml:space="preserve"> mais longo da obra: 5 compassos (19-24). Este estatismo sonoro (constituído do quarteto de metais com sordinas por baixo do Violino solo) provoca uma parada rep</w:t>
      </w:r>
      <w:r w:rsidR="007C6894">
        <w:t>entina no ri</w:t>
      </w:r>
      <w:r w:rsidRPr="00C26BD7">
        <w:t xml:space="preserve">tmo de mudança constante de sonoridade a qual o compositor já trata de acostumar o ouvinte desde o início da obra. Sem dúvida, é uma estratégia para chamar a atenção para o  </w:t>
      </w:r>
      <w:r w:rsidRPr="002810CA">
        <w:rPr>
          <w:i/>
        </w:rPr>
        <w:t>incipit</w:t>
      </w:r>
      <w:r w:rsidR="002810CA">
        <w:t xml:space="preserve"> do tema</w:t>
      </w:r>
      <w:r w:rsidRPr="00C26BD7">
        <w:t xml:space="preserve">.  Ele ainda é mantido no </w:t>
      </w:r>
      <w:r w:rsidR="007C6894" w:rsidRPr="007C6894">
        <w:rPr>
          <w:i/>
        </w:rPr>
        <w:t>Setup</w:t>
      </w:r>
      <w:r w:rsidRPr="00C26BD7">
        <w:t xml:space="preserve"> seguinte, </w:t>
      </w:r>
      <w:r w:rsidR="002810CA">
        <w:t>de 3 compassos</w:t>
      </w:r>
      <w:r w:rsidR="002810CA" w:rsidRPr="00C26BD7">
        <w:t xml:space="preserve"> (24-26) </w:t>
      </w:r>
      <w:r w:rsidRPr="00C26BD7">
        <w:t>onde os metais são subs</w:t>
      </w:r>
      <w:r w:rsidR="002810CA">
        <w:t>t</w:t>
      </w:r>
      <w:r w:rsidRPr="00C26BD7">
        <w:t xml:space="preserve">ituídos pelo quarteto de madeiras e o violino reforçado pelo </w:t>
      </w:r>
      <w:r w:rsidR="002810CA">
        <w:t>naipe dos Segundos,</w:t>
      </w:r>
      <w:r w:rsidRPr="00C26BD7">
        <w:t xml:space="preserve"> </w:t>
      </w:r>
      <w:r w:rsidR="002810CA">
        <w:t>e, em m</w:t>
      </w:r>
      <w:r w:rsidRPr="00C26BD7">
        <w:t>e</w:t>
      </w:r>
      <w:r w:rsidR="002810CA">
        <w:t>n</w:t>
      </w:r>
      <w:r w:rsidRPr="00C26BD7">
        <w:t>os grau, em alguns outros momentos na mesma seção.</w:t>
      </w:r>
    </w:p>
    <w:p w:rsidR="007605B9" w:rsidRDefault="002810CA" w:rsidP="0056450E">
      <w:pPr>
        <w:pStyle w:val="TeMAcorpoTexto"/>
        <w:keepNext w:val="0"/>
      </w:pPr>
      <w:r>
        <w:t>A estrutura deste “acompanhamento”</w:t>
      </w:r>
      <w:r w:rsidR="00C26BD7" w:rsidRPr="00C26BD7">
        <w:t xml:space="preserve"> (chamamo-lo assim, então) vale a pena ser destrinchada, por</w:t>
      </w:r>
      <w:r w:rsidR="0034117A">
        <w:t xml:space="preserve"> conta da sua exclusividade. Ele</w:t>
      </w:r>
      <w:r w:rsidR="00C26BD7" w:rsidRPr="00C26BD7">
        <w:t xml:space="preserve"> é constituída de uma sequencia de doze tetracordes, mostrados em redução na figura</w:t>
      </w:r>
      <w:r w:rsidR="00FF72F1">
        <w:t xml:space="preserve"> 4.</w:t>
      </w:r>
      <w:r w:rsidR="00C26BD7" w:rsidRPr="00C26BD7">
        <w:t xml:space="preserve"> Esta redução distribui os acordes no plano horizontal em p</w:t>
      </w:r>
      <w:r w:rsidR="002A7E31">
        <w:t>roporção a suas duraçõ</w:t>
      </w:r>
      <w:r>
        <w:t>es aproximadas</w:t>
      </w:r>
      <w:r w:rsidR="00C26BD7" w:rsidRPr="00C26BD7">
        <w:t>.</w:t>
      </w:r>
    </w:p>
    <w:p w:rsidR="002A7E31" w:rsidRDefault="002A7E31" w:rsidP="0056450E">
      <w:pPr>
        <w:pStyle w:val="TeMAcorpoTexto"/>
        <w:keepNext w:val="0"/>
      </w:pPr>
    </w:p>
    <w:p w:rsidR="002A7E31" w:rsidRDefault="0034117A" w:rsidP="007605B9">
      <w:pPr>
        <w:pStyle w:val="TeMAcorpoTexto"/>
        <w:keepNext w:val="0"/>
        <w:jc w:val="center"/>
      </w:pPr>
      <w:r>
        <w:rPr>
          <w:noProof/>
          <w:lang w:val="fr-FR" w:eastAsia="fr-FR" w:bidi="ar-SA"/>
        </w:rPr>
        <w:drawing>
          <wp:inline distT="0" distB="0" distL="0" distR="0">
            <wp:extent cx="4435475" cy="1406688"/>
            <wp:effectExtent l="25400" t="0" r="9525" b="0"/>
            <wp:docPr id="15" name="Image 14" descr="wbn30_canvastema1-chds-p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bn30_canvastema1-chds-pb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435475" cy="1406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187E" w:rsidRPr="007C6894" w:rsidRDefault="0034117A" w:rsidP="004950A6">
      <w:pPr>
        <w:pStyle w:val="TeMAlegenda"/>
      </w:pPr>
      <w:r w:rsidRPr="007C6894">
        <w:t>Figura</w:t>
      </w:r>
      <w:r w:rsidR="00FF72F1" w:rsidRPr="007C6894">
        <w:t xml:space="preserve"> 4</w:t>
      </w:r>
      <w:r w:rsidRPr="007C6894">
        <w:t>: Sequência harmônica do Tema 1 (c. 21-55).</w:t>
      </w:r>
    </w:p>
    <w:p w:rsidR="0034117A" w:rsidRDefault="0034117A" w:rsidP="0034117A">
      <w:pPr>
        <w:pStyle w:val="TeMAcorpoTexto"/>
        <w:keepNext w:val="0"/>
      </w:pPr>
      <w:r>
        <w:t>Os tetracordes se reduzem a três tipos de arranjo intervalar. O Tipo A é  constituído da supe</w:t>
      </w:r>
      <w:r w:rsidR="002810CA">
        <w:t>rposição dos intervalos [3 6 3]; B inclui uma triade perfeita</w:t>
      </w:r>
      <w:r>
        <w:t>; e C, da superposição mais dissonante [11 4 11]. Como se vê na figura, Webern adota uma sequencia regular: ABCBCBCBA</w:t>
      </w:r>
      <w:r>
        <w:rPr>
          <w:rStyle w:val="FootnoteAnchor"/>
        </w:rPr>
        <w:footnoteReference w:id="7"/>
      </w:r>
      <w:r>
        <w:t xml:space="preserve"> . O último A, inclusive, é idêntico ao primeiro, transposto um semitom abaixo. Este material será reutilizado nos demais momentos</w:t>
      </w:r>
      <w:r w:rsidR="002810CA">
        <w:t xml:space="preserve"> da obra</w:t>
      </w:r>
      <w:r>
        <w:t xml:space="preserve"> onde tem acordes. Vemos que logo na sequencia do Tema, a Transição começa com uma reapresentação do acorde A na sua versão inicial (c. 56, cordas). Este mesmo acorde se faz também presente nos c. 69 e 1</w:t>
      </w:r>
      <w:r w:rsidR="00303173">
        <w:t>68, conforme já mencionamos (cf.</w:t>
      </w:r>
      <w:r>
        <w:t xml:space="preserve"> </w:t>
      </w:r>
      <w:r w:rsidR="002810CA">
        <w:t>fig. 2</w:t>
      </w:r>
      <w:r>
        <w:t xml:space="preserve">). </w:t>
      </w:r>
    </w:p>
    <w:p w:rsidR="0034117A" w:rsidRDefault="0034117A" w:rsidP="0034117A">
      <w:pPr>
        <w:pStyle w:val="TeMAcorpoTexto"/>
        <w:keepNext w:val="0"/>
      </w:pPr>
      <w:r>
        <w:t>Voltando ao tema, vendo-o agora sob o prisma da distribuição orquestral, obtemos outra sequencia, expressa na nossa figura por números. 1 representa os metais (BR), 2 as madeiras (WW), 3 as cordas (ST), e 4 o conjunto Harpa + Celestra (HC)</w:t>
      </w:r>
      <w:r w:rsidR="002F3D4E">
        <w:t xml:space="preserve"> + Timpani (HCT). </w:t>
      </w:r>
      <w:r>
        <w:t xml:space="preserve">Desta vez a sequencia é mais linear ainda: 1 2 3 4 1 2 3 4 1, onde reparamos que, à volta do acorde A no final, corresponde a volta do mesmo </w:t>
      </w:r>
      <w:r w:rsidR="007C6894" w:rsidRPr="007C6894">
        <w:rPr>
          <w:i/>
        </w:rPr>
        <w:t>Setup</w:t>
      </w:r>
      <w:r>
        <w:t xml:space="preserve"> sonoro (os metais). </w:t>
      </w:r>
    </w:p>
    <w:p w:rsidR="00CF187E" w:rsidRDefault="0034117A" w:rsidP="0034117A">
      <w:pPr>
        <w:pStyle w:val="TeMAcorpoTexto"/>
        <w:keepNext w:val="0"/>
      </w:pPr>
      <w:r>
        <w:t xml:space="preserve">Esta estabilidade sonora é sem dúvida o aspecto mais notável da estruturação deste Tema. Mesmo porque, </w:t>
      </w:r>
      <w:r w:rsidR="00FF72F1" w:rsidRPr="00FF72F1">
        <w:t>a música de</w:t>
      </w:r>
      <w:r w:rsidR="00DF1AD6">
        <w:t xml:space="preserve"> Webern se desenvolve mais </w:t>
      </w:r>
      <w:r w:rsidR="0056450E">
        <w:t>comumente</w:t>
      </w:r>
      <w:r w:rsidR="00FF72F1" w:rsidRPr="00FF72F1">
        <w:t xml:space="preserve"> por meio de grandes contrastes </w:t>
      </w:r>
      <w:r w:rsidR="00DF1AD6">
        <w:t xml:space="preserve">adjacentes </w:t>
      </w:r>
      <w:r w:rsidR="00FF72F1" w:rsidRPr="00FF72F1">
        <w:t>de instrumentação. Isto se verifica nas demais seções, onde o tempo musical é muito acidentado, e a renovação sonora permanente. A sonoridade da obra se mantem em instabilidade constante, passando, em questão de segundos, de solos para duos e subitamente para quase tutti, e assim por diante. No entanto, ao mesmo tempo, revela-se certa direcionalidade na sucessão das sonoridades, sustentada pela estruturacão motívica. Um bom exemplo se encontra logo na Introdução, que obedece a um formato clássico de crescimento de complexidade sonora seguido de resimplificação</w:t>
      </w:r>
      <w:r w:rsidR="002F3D4E">
        <w:t xml:space="preserve">. </w:t>
      </w:r>
    </w:p>
    <w:p w:rsidR="00CF187E" w:rsidRDefault="002F3D4E" w:rsidP="000554A8">
      <w:pPr>
        <w:pStyle w:val="TeMAseo"/>
        <w:keepNext w:val="0"/>
      </w:pPr>
      <w:r>
        <w:rPr>
          <w:noProof/>
          <w:lang w:val="fr-FR" w:eastAsia="fr-FR" w:bidi="ar-SA"/>
        </w:rPr>
        <w:drawing>
          <wp:inline distT="0" distB="0" distL="0" distR="0">
            <wp:extent cx="5404187" cy="4226884"/>
            <wp:effectExtent l="25400" t="0" r="6013" b="0"/>
            <wp:docPr id="16" name="Image 15" descr="wbn30_canvas6-17-p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bn30_canvas6-17-pb.jpg"/>
                    <pic:cNvPicPr/>
                  </pic:nvPicPr>
                  <pic:blipFill>
                    <a:blip r:embed="rId9"/>
                    <a:srcRect b="14039"/>
                    <a:stretch>
                      <a:fillRect/>
                    </a:stretch>
                  </pic:blipFill>
                  <pic:spPr>
                    <a:xfrm>
                      <a:off x="0" y="0"/>
                      <a:ext cx="5404187" cy="42268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187E" w:rsidRPr="007C6894" w:rsidRDefault="002F3D4E" w:rsidP="004950A6">
      <w:pPr>
        <w:pStyle w:val="TeMAlegenda"/>
      </w:pPr>
      <w:r w:rsidRPr="007C6894">
        <w:t xml:space="preserve">Figura 5: </w:t>
      </w:r>
      <w:r w:rsidRPr="007C6894">
        <w:rPr>
          <w:i/>
        </w:rPr>
        <w:t>Variações</w:t>
      </w:r>
      <w:r w:rsidRPr="007C6894">
        <w:t>, c. 5-17 (</w:t>
      </w:r>
      <w:r w:rsidRPr="007C6894">
        <w:rPr>
          <w:i/>
        </w:rPr>
        <w:t>apud</w:t>
      </w:r>
      <w:r w:rsidRPr="007C6894">
        <w:t xml:space="preserve"> Philharmonia, p. 2-3).</w:t>
      </w:r>
    </w:p>
    <w:p w:rsidR="007F0C78" w:rsidRDefault="002F3D4E" w:rsidP="006D4E95">
      <w:pPr>
        <w:pStyle w:val="TeMAcorpoTexto"/>
        <w:keepNext w:val="0"/>
      </w:pPr>
      <w:r>
        <w:t>A figura 5 mostra a parte central da In</w:t>
      </w:r>
      <w:r w:rsidR="009B29DD">
        <w:t>trodução (c. 5</w:t>
      </w:r>
      <w:r>
        <w:t>-17). O trecho é construido a partir da superposição cruzada de tetracordes das quatro versões da série sustentados por elaborações dos dois motivos rítmicos a e b (conforme indicado por círculos, símbolos e setas)</w:t>
      </w:r>
      <w:r w:rsidR="009B29DD">
        <w:rPr>
          <w:rStyle w:val="FootnoteAnchor"/>
        </w:rPr>
        <w:footnoteReference w:id="8"/>
      </w:r>
      <w:r>
        <w:t>. Embora as transformações sonoras estejam concomitentes à rapidez das mudanças de tetracordes, uma dialética se instaura entre o nível primário de organização destes e a articulação dos timbres orquestrais. Obs</w:t>
      </w:r>
      <w:r w:rsidR="009B29DD">
        <w:t>ervamos que, nos comp. 7-8,</w:t>
      </w:r>
      <w:r>
        <w:t xml:space="preserve"> I3ar e RI3ar são repartidos em 2 </w:t>
      </w:r>
      <w:r w:rsidR="007C6894" w:rsidRPr="00C52C23">
        <w:rPr>
          <w:i/>
        </w:rPr>
        <w:t>Setup</w:t>
      </w:r>
      <w:r w:rsidRPr="00C52C23">
        <w:rPr>
          <w:i/>
        </w:rPr>
        <w:t>s</w:t>
      </w:r>
      <w:r>
        <w:t xml:space="preserve"> sucessivos, que tem em comum a sonoridade dos Iº violinos e como sonoridade complementar a Harpa para o primeiro, e</w:t>
      </w:r>
      <w:r w:rsidR="00A54730">
        <w:t xml:space="preserve"> os contrabaixos para o segundo. </w:t>
      </w:r>
      <w:r>
        <w:t xml:space="preserve">Notamos que trata-se do mesmo tetracorde (o terceiro) e que I e R apresentam o mesmo movito rítmico (ar) em defasagem. Os 3 </w:t>
      </w:r>
      <w:r w:rsidR="007C6894" w:rsidRPr="00C52C23">
        <w:rPr>
          <w:i/>
        </w:rPr>
        <w:t>Setup</w:t>
      </w:r>
      <w:r w:rsidRPr="00C52C23">
        <w:rPr>
          <w:i/>
        </w:rPr>
        <w:t>s</w:t>
      </w:r>
      <w:r>
        <w:t xml:space="preserve"> seguintes (c. 10, 11 e 13) suportam duas versões completas da série, a Invertida e a Retrógrada, em distribuição alternada entre naipes de cordas, metai</w:t>
      </w:r>
      <w:r w:rsidR="006D4E95">
        <w:t xml:space="preserve">s e madeiras. </w:t>
      </w:r>
      <w:r>
        <w:t xml:space="preserve">Diferente do que costuma acontecer no restante da obra, neste trecho os dois planos estão em sincronia. Ou seja, as sonoridades são trocadas ao mesmo tempo que os tetracordes. O trecho culmina com o </w:t>
      </w:r>
      <w:r w:rsidR="007C6894" w:rsidRPr="007C6894">
        <w:rPr>
          <w:i/>
        </w:rPr>
        <w:t>Setup</w:t>
      </w:r>
      <w:r>
        <w:t xml:space="preserve"> dos comp. 11-12, que convoca pela primeira vez 11 </w:t>
      </w:r>
      <w:r w:rsidR="00A54730">
        <w:t>partes instrumentais</w:t>
      </w:r>
      <w:r>
        <w:t xml:space="preserve"> em </w:t>
      </w:r>
      <w:r w:rsidRPr="00A54730">
        <w:rPr>
          <w:i/>
        </w:rPr>
        <w:t>tutti</w:t>
      </w:r>
      <w:r>
        <w:t xml:space="preserve"> </w:t>
      </w:r>
      <w:r w:rsidRPr="00A54730">
        <w:rPr>
          <w:i/>
        </w:rPr>
        <w:t>forte</w:t>
      </w:r>
      <w:r>
        <w:t>, opondo um marcante uníssono nas madeiras</w:t>
      </w:r>
      <w:r w:rsidR="00DF1AD6">
        <w:t xml:space="preserve"> agudas</w:t>
      </w:r>
      <w:r>
        <w:t xml:space="preserve"> – uma solução orquestral </w:t>
      </w:r>
      <w:r w:rsidR="00DF1AD6">
        <w:t xml:space="preserve">estruturante nesta peça </w:t>
      </w:r>
      <w:r>
        <w:t xml:space="preserve">– à uma </w:t>
      </w:r>
      <w:r w:rsidR="00A54730">
        <w:t xml:space="preserve">pontuação </w:t>
      </w:r>
      <w:r w:rsidR="00A54730" w:rsidRPr="009B29DD">
        <w:rPr>
          <w:i/>
        </w:rPr>
        <w:t>pizzicato</w:t>
      </w:r>
      <w:r w:rsidR="00A54730">
        <w:t xml:space="preserve"> das cordas. </w:t>
      </w:r>
      <w:r w:rsidR="00DF1AD6">
        <w:t>Como já apontamos no caso do Tema 1, e</w:t>
      </w:r>
      <w:r>
        <w:t>ssas convergências são reservadas por Webern para momentos onde é necessário que se perceba algum ma</w:t>
      </w:r>
      <w:r w:rsidR="009B29DD">
        <w:t>rco</w:t>
      </w:r>
      <w:r w:rsidR="00D06C02">
        <w:t xml:space="preserve"> temático-</w:t>
      </w:r>
      <w:r w:rsidR="009B29DD">
        <w:t>estrutural</w:t>
      </w:r>
      <w:r w:rsidR="00DF1AD6">
        <w:t>.</w:t>
      </w:r>
    </w:p>
    <w:p w:rsidR="002F3D4E" w:rsidRDefault="00A54730" w:rsidP="007F0C78">
      <w:pPr>
        <w:pStyle w:val="TeMAseo"/>
        <w:spacing w:before="0"/>
      </w:pPr>
      <w:r>
        <w:t>Co</w:t>
      </w:r>
      <w:r w:rsidR="002F3D4E">
        <w:t>nclusão</w:t>
      </w:r>
    </w:p>
    <w:p w:rsidR="009B29DD" w:rsidRDefault="002F3D4E" w:rsidP="007F0C78">
      <w:pPr>
        <w:pStyle w:val="TeMAcorpoTexto"/>
        <w:keepNext w:val="0"/>
      </w:pPr>
      <w:r>
        <w:t xml:space="preserve">A </w:t>
      </w:r>
      <w:r w:rsidR="00A54730">
        <w:t>análise da distribuição e partiç</w:t>
      </w:r>
      <w:r>
        <w:t>ão dos recursos instrumentais em texturas de várias camadas é uma das ferramentas que permite apreciar as estratégias de orquestração de um compositor, mas não é a única. Estamos paralelamente desenvolvendo outros meios de abordar esta dimensão, tanto</w:t>
      </w:r>
      <w:r w:rsidR="00A54730">
        <w:t xml:space="preserve"> no plano simbólico </w:t>
      </w:r>
      <w:r>
        <w:t>quanto no plano da realizacão sonora dessas prescricões, por meio de rotinas</w:t>
      </w:r>
      <w:r w:rsidR="009B29DD">
        <w:t xml:space="preserve"> de análise dos registros </w:t>
      </w:r>
      <w:r w:rsidR="007C6894">
        <w:t>sonoros</w:t>
      </w:r>
      <w:r>
        <w:t xml:space="preserve"> das obras. A exposição do nosso modelo experimental, na sua totalidade, ultrapassaria de longe os limites desta comunicação. Ele é desenvolvido no âmbito de um projeto de pe</w:t>
      </w:r>
      <w:r w:rsidR="006E55F2">
        <w:t>squisa que ass</w:t>
      </w:r>
      <w:r w:rsidR="001F3C41">
        <w:t xml:space="preserve">ocia o </w:t>
      </w:r>
      <w:r w:rsidR="001F3C41" w:rsidRPr="001F3C41">
        <w:rPr>
          <w:i/>
        </w:rPr>
        <w:t>Mus</w:t>
      </w:r>
      <w:r w:rsidR="001F3C41" w:rsidRPr="001F3C41">
        <w:rPr>
          <w:i/>
          <w:vertAlign w:val="superscript"/>
        </w:rPr>
        <w:t>3</w:t>
      </w:r>
      <w:r w:rsidR="001F3C41">
        <w:t xml:space="preserve"> (UFPB), o NICS (UNICAMP) e o IRCAM (Paris).</w:t>
      </w:r>
    </w:p>
    <w:p w:rsidR="002F3D4E" w:rsidRDefault="002F3D4E" w:rsidP="007F0C78">
      <w:pPr>
        <w:pStyle w:val="TeMAcorpoTexto"/>
        <w:keepNext w:val="0"/>
      </w:pPr>
      <w:r>
        <w:t xml:space="preserve">No recorte apresentado aqui, </w:t>
      </w:r>
      <w:r w:rsidR="00DE4795">
        <w:t>demos indícios</w:t>
      </w:r>
      <w:r>
        <w:t xml:space="preserve"> que a forma com que Webern seleciona e distribui seus recursos instrumentais é um fator determinante da sonorida</w:t>
      </w:r>
      <w:r w:rsidR="009B29DD">
        <w:t>de de cada seçã</w:t>
      </w:r>
      <w:r w:rsidR="001F3C41">
        <w:t xml:space="preserve">o, cada </w:t>
      </w:r>
      <w:r w:rsidR="001F3C41" w:rsidRPr="001F3C41">
        <w:rPr>
          <w:i/>
        </w:rPr>
        <w:t>S</w:t>
      </w:r>
      <w:r w:rsidRPr="001F3C41">
        <w:rPr>
          <w:i/>
        </w:rPr>
        <w:t>etup</w:t>
      </w:r>
      <w:r>
        <w:t xml:space="preserve"> se configurando como uma unidade sonora característica. E</w:t>
      </w:r>
      <w:r w:rsidR="00DE4795">
        <w:t xml:space="preserve">mbora sempre gerando estas </w:t>
      </w:r>
      <w:r>
        <w:t>a partir do material motivico-serial de base, Weber</w:t>
      </w:r>
      <w:r w:rsidR="009B29DD">
        <w:t>n transfere para o nível secundário da orquestração</w:t>
      </w:r>
      <w:r>
        <w:t xml:space="preserve"> a responsabilidade da dinâmica da obra e, portanto, da expressão da forma. </w:t>
      </w:r>
      <w:r w:rsidR="009B29DD">
        <w:t>A</w:t>
      </w:r>
      <w:r>
        <w:t xml:space="preserve"> arte da organização dos sons através da manipulação dos recursos instrumentais, logo, se torna o </w:t>
      </w:r>
      <w:r w:rsidRPr="009B29DD">
        <w:rPr>
          <w:i/>
        </w:rPr>
        <w:t>locus</w:t>
      </w:r>
      <w:r>
        <w:t xml:space="preserve"> da sua estética.</w:t>
      </w:r>
    </w:p>
    <w:p w:rsidR="00250979" w:rsidRDefault="00F87303" w:rsidP="00D06C02">
      <w:pPr>
        <w:pStyle w:val="TeMAseo"/>
        <w:keepNext w:val="0"/>
      </w:pPr>
      <w:r>
        <w:t>Referências</w:t>
      </w:r>
    </w:p>
    <w:p w:rsidR="00734BC6" w:rsidRDefault="00734BC6" w:rsidP="007C6894">
      <w:pPr>
        <w:pStyle w:val="TeMAreferncias"/>
        <w:keepNext w:val="0"/>
        <w:ind w:left="0" w:firstLine="0"/>
      </w:pPr>
      <w:bookmarkStart w:id="1" w:name="BIB_babbitt61_set"/>
      <w:bookmarkEnd w:id="1"/>
    </w:p>
    <w:p w:rsidR="00734BC6" w:rsidRDefault="00734BC6" w:rsidP="00D06C02">
      <w:pPr>
        <w:pStyle w:val="TeMAreferncias"/>
        <w:keepNext w:val="0"/>
      </w:pPr>
      <w:r>
        <w:t>Bailey, Kathryn. 1991. The twelve-ton music of Anton Webern. Cambridge: University Press.</w:t>
      </w:r>
    </w:p>
    <w:p w:rsidR="00067BAA" w:rsidRDefault="00734BC6" w:rsidP="00D06C02">
      <w:pPr>
        <w:pStyle w:val="TeMAreferncias"/>
        <w:keepNext w:val="0"/>
      </w:pPr>
      <w:r>
        <w:t xml:space="preserve">Berry, Wallace. 1987.  Structural functions in music. New York: Dover. </w:t>
      </w:r>
    </w:p>
    <w:p w:rsidR="00734BC6" w:rsidRDefault="00067BAA" w:rsidP="00D06C02">
      <w:pPr>
        <w:pStyle w:val="TeMAreferncias"/>
        <w:keepNext w:val="0"/>
      </w:pPr>
      <w:r>
        <w:t>Dahlhaus</w:t>
      </w:r>
      <w:r w:rsidR="00341D92">
        <w:t>, Carl. 2000.</w:t>
      </w:r>
      <w:r w:rsidR="00341D92" w:rsidRPr="00341D92">
        <w:t xml:space="preserve"> "Instrumentation analytique: le Ricercare à six voix de Bach dans l’orchestration d’Anton Webern". Arrangements, dérangements. La transcription musicale aujourd’h</w:t>
      </w:r>
      <w:r w:rsidR="00341D92">
        <w:t>ui (Szendy, Peter</w:t>
      </w:r>
      <w:r w:rsidR="00341D92" w:rsidRPr="00341D92">
        <w:t>, trad.</w:t>
      </w:r>
      <w:r w:rsidR="00341D92">
        <w:t xml:space="preserve"> e ed.) Paris: L’Harmattan.</w:t>
      </w:r>
    </w:p>
    <w:p w:rsidR="007C6894" w:rsidRDefault="00734BC6" w:rsidP="00D06C02">
      <w:pPr>
        <w:pStyle w:val="TeMAreferncias"/>
        <w:keepNext w:val="0"/>
      </w:pPr>
      <w:r>
        <w:t xml:space="preserve">Gentil-Nunes, Pauxy. 2009. Análise particional: uma mediação entre composição musical e a teoria das partições. Tese de Doutorado,  Universidade Federal do Estado do Rio de Janeiro. </w:t>
      </w:r>
    </w:p>
    <w:p w:rsidR="007C6894" w:rsidRDefault="007C6894" w:rsidP="007C6894">
      <w:pPr>
        <w:pStyle w:val="TeMAreferncias"/>
        <w:keepNext w:val="0"/>
      </w:pPr>
      <w:r>
        <w:t xml:space="preserve">Guigue, Didier. 2014. </w:t>
      </w:r>
      <w:r w:rsidRPr="007C6894">
        <w:t>“Vers un modele pour l'analyse de l'orchestration : rapport de recherche en cours.” Actes des Journées d’Informatique Musicales 2014. Bourges: Musinfo, 2014b. http://www.musinfo.fr/images/0060_05_01_VERS_UN_MODELE_POUR_L_ANALYSE_DE_L_ORCH_V3.pdf</w:t>
      </w:r>
    </w:p>
    <w:p w:rsidR="00250979" w:rsidRDefault="00734BC6" w:rsidP="00D06C02">
      <w:pPr>
        <w:pStyle w:val="TeMAreferncias"/>
        <w:keepNext w:val="0"/>
      </w:pPr>
      <w:r>
        <w:t>Webern, Anton von. 1956. Variationen. Wien: Universal Edition (Philharmonia Partituren).</w:t>
      </w:r>
      <w:r w:rsidR="007C6894" w:rsidRPr="007C6894">
        <w:t xml:space="preserve"> </w:t>
      </w:r>
    </w:p>
    <w:sectPr w:rsidR="00250979" w:rsidSect="00250979">
      <w:pgSz w:w="11906" w:h="16838"/>
      <w:pgMar w:top="1701" w:right="1701" w:bottom="1701" w:left="1701" w:header="0" w:footer="0" w:gutter="0"/>
      <w:formProt w:val="0"/>
      <w:docGrid w:linePitch="24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ourier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Helvetica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footnotes.xml><?xml version="1.0" encoding="utf-8"?>
<w:footnotes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>
  <w:footnote w:type="separator" w:id="0">
    <w:p w:rsidR="00195554" w:rsidRDefault="00195554">
      <w:r>
        <w:separator/>
      </w:r>
    </w:p>
  </w:footnote>
  <w:footnote w:type="continuationSeparator" w:id="1">
    <w:p w:rsidR="00195554" w:rsidRDefault="00195554">
      <w:r>
        <w:continuationSeparator/>
      </w:r>
    </w:p>
  </w:footnote>
  <w:footnote w:id="2">
    <w:p w:rsidR="00195554" w:rsidRDefault="00195554" w:rsidP="002B6D7E">
      <w:pPr>
        <w:pStyle w:val="Footnote"/>
      </w:pPr>
      <w:r>
        <w:footnoteRef/>
      </w:r>
      <w:r>
        <w:tab/>
      </w:r>
      <w:r>
        <w:tab/>
        <w:t>Na edição que utilizamos (cf. referências), a obra começa de fato no compasso 0.</w:t>
      </w:r>
    </w:p>
  </w:footnote>
  <w:footnote w:id="3">
    <w:p w:rsidR="00195554" w:rsidRDefault="00195554" w:rsidP="00BF6F3A">
      <w:pPr>
        <w:pStyle w:val="Footnote"/>
      </w:pPr>
      <w:r>
        <w:footnoteRef/>
      </w:r>
      <w:r>
        <w:tab/>
      </w:r>
      <w:r>
        <w:tab/>
        <w:t>Cf. (Guigue 2014)</w:t>
      </w:r>
      <w:r w:rsidRPr="00BF6F3A">
        <w:t xml:space="preserve"> para uma descrição mais detalhada da implementação computacional desta parte do modelo analítico</w:t>
      </w:r>
      <w:r>
        <w:t>.</w:t>
      </w:r>
    </w:p>
  </w:footnote>
  <w:footnote w:id="4">
    <w:p w:rsidR="00195554" w:rsidRDefault="00195554" w:rsidP="00794461">
      <w:pPr>
        <w:pStyle w:val="Footnote"/>
      </w:pPr>
      <w:r>
        <w:footnoteRef/>
      </w:r>
      <w:r>
        <w:tab/>
      </w:r>
      <w:r>
        <w:tab/>
      </w:r>
      <w:r w:rsidRPr="00794461">
        <w:t>A heterodireci</w:t>
      </w:r>
      <w:r>
        <w:t>onalidade somente pôde ser levad</w:t>
      </w:r>
      <w:r w:rsidRPr="00794461">
        <w:t>a em consideração no c. 9, e sobretudo nos c. 56 a 58, onde ela atua de forma ostensiva.</w:t>
      </w:r>
    </w:p>
  </w:footnote>
  <w:footnote w:id="5">
    <w:p w:rsidR="00195554" w:rsidRDefault="00195554" w:rsidP="00FA0EFA">
      <w:pPr>
        <w:pStyle w:val="Footnote"/>
      </w:pPr>
      <w:r>
        <w:footnoteRef/>
      </w:r>
      <w:r>
        <w:tab/>
      </w:r>
      <w:r>
        <w:tab/>
        <w:t xml:space="preserve">Um </w:t>
      </w:r>
      <w:r w:rsidRPr="007C6894">
        <w:rPr>
          <w:i/>
        </w:rPr>
        <w:t>Setup</w:t>
      </w:r>
      <w:r>
        <w:t xml:space="preserve"> é uma configuraç</w:t>
      </w:r>
      <w:r w:rsidRPr="00313E2C">
        <w:t xml:space="preserve">ão </w:t>
      </w:r>
      <w:r>
        <w:t xml:space="preserve">de instrumentos em um dado momento; os </w:t>
      </w:r>
      <w:r w:rsidRPr="007C6894">
        <w:rPr>
          <w:i/>
        </w:rPr>
        <w:t>Setup</w:t>
      </w:r>
      <w:r w:rsidRPr="00313E2C">
        <w:t>s são sub-conjuntos da totalidade dos recursos sonoros elencado</w:t>
      </w:r>
      <w:r>
        <w:t xml:space="preserve">s pelo compositor na sua obra (cf. Guigue </w:t>
      </w:r>
      <w:r>
        <w:rPr>
          <w:i/>
        </w:rPr>
        <w:t>op. cit.</w:t>
      </w:r>
      <w:r>
        <w:t xml:space="preserve"> para mais detalhes).</w:t>
      </w:r>
    </w:p>
  </w:footnote>
  <w:footnote w:id="6">
    <w:p w:rsidR="00195554" w:rsidRDefault="00195554" w:rsidP="00D427B9">
      <w:pPr>
        <w:pStyle w:val="Footnote"/>
      </w:pPr>
      <w:r>
        <w:footnoteRef/>
      </w:r>
      <w:r>
        <w:tab/>
      </w:r>
      <w:r>
        <w:tab/>
        <w:t>Voltamos a este tópico mais em diante.</w:t>
      </w:r>
    </w:p>
  </w:footnote>
  <w:footnote w:id="7">
    <w:p w:rsidR="00195554" w:rsidRDefault="00195554" w:rsidP="0034117A">
      <w:pPr>
        <w:pStyle w:val="Footnote"/>
      </w:pPr>
      <w:r>
        <w:footnoteRef/>
      </w:r>
      <w:r>
        <w:tab/>
      </w:r>
      <w:r>
        <w:tab/>
      </w:r>
      <w:r w:rsidRPr="0034117A">
        <w:t>Pela</w:t>
      </w:r>
      <w:r>
        <w:t xml:space="preserve"> sua duração muito breve, deprezamos os acordes “de passagem”</w:t>
      </w:r>
      <w:r w:rsidRPr="0034117A">
        <w:t xml:space="preserve"> </w:t>
      </w:r>
      <w:r>
        <w:t>de tipo A, encontrados nos c. 30-31 (cordas), 36 (</w:t>
      </w:r>
      <w:r w:rsidRPr="0034117A">
        <w:t>metais)</w:t>
      </w:r>
      <w:r>
        <w:t xml:space="preserve"> e 46-47 (cordas).</w:t>
      </w:r>
    </w:p>
  </w:footnote>
  <w:footnote w:id="8">
    <w:p w:rsidR="00195554" w:rsidRDefault="00195554" w:rsidP="009B29DD">
      <w:pPr>
        <w:pStyle w:val="Footnote"/>
      </w:pPr>
      <w:r>
        <w:footnoteRef/>
      </w:r>
      <w:r>
        <w:tab/>
      </w:r>
      <w:r>
        <w:tab/>
        <w:t>Como na figura anteriore</w:t>
      </w:r>
      <w:r w:rsidRPr="009B29DD">
        <w:t xml:space="preserve">, os </w:t>
      </w:r>
      <w:r>
        <w:t>retângulos</w:t>
      </w:r>
      <w:r w:rsidRPr="009B29DD">
        <w:t xml:space="preserve"> </w:t>
      </w:r>
      <w:r>
        <w:t>desmarcam</w:t>
      </w:r>
      <w:r w:rsidRPr="009B29DD">
        <w:t xml:space="preserve"> a sequencia dos </w:t>
      </w:r>
      <w:r w:rsidRPr="007C6894">
        <w:rPr>
          <w:i/>
        </w:rPr>
        <w:t>Setup</w:t>
      </w:r>
      <w:r w:rsidRPr="009B29DD">
        <w:t>s.</w:t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fullPage" w:percent="126"/>
  <w:embedTrueTypeFonts/>
  <w:embedSystemFonts/>
  <w:doNotTrackMoves/>
  <w:defaultTabStop w:val="720"/>
  <w:hyphenationZone w:val="425"/>
  <w:characterSpacingControl w:val="doNotCompress"/>
  <w:savePreviewPicture/>
  <w:hdrShapeDefaults>
    <o:shapedefaults v:ext="edit" spidmax="2050"/>
  </w:hdrShapeDefaults>
  <w:footnotePr>
    <w:footnote w:id="0"/>
    <w:footnote w:id="1"/>
  </w:footnotePr>
  <w:compat>
    <w:useFELayout/>
  </w:compat>
  <w:rsids>
    <w:rsidRoot w:val="00250979"/>
    <w:rsid w:val="0000288E"/>
    <w:rsid w:val="000134C5"/>
    <w:rsid w:val="00014ECD"/>
    <w:rsid w:val="00027C7C"/>
    <w:rsid w:val="000554A8"/>
    <w:rsid w:val="00067BAA"/>
    <w:rsid w:val="000D00CA"/>
    <w:rsid w:val="00176FC2"/>
    <w:rsid w:val="00195554"/>
    <w:rsid w:val="001E650E"/>
    <w:rsid w:val="001F3C41"/>
    <w:rsid w:val="00250979"/>
    <w:rsid w:val="00254A17"/>
    <w:rsid w:val="002810CA"/>
    <w:rsid w:val="002A7E31"/>
    <w:rsid w:val="002B6D7E"/>
    <w:rsid w:val="002F3D4E"/>
    <w:rsid w:val="00303173"/>
    <w:rsid w:val="00313E2C"/>
    <w:rsid w:val="00332573"/>
    <w:rsid w:val="0034117A"/>
    <w:rsid w:val="00341D92"/>
    <w:rsid w:val="003F1BFB"/>
    <w:rsid w:val="004470A7"/>
    <w:rsid w:val="004950A6"/>
    <w:rsid w:val="0053156E"/>
    <w:rsid w:val="0056450E"/>
    <w:rsid w:val="005A0FFC"/>
    <w:rsid w:val="005D5B2D"/>
    <w:rsid w:val="005F44E1"/>
    <w:rsid w:val="00627C7B"/>
    <w:rsid w:val="00693889"/>
    <w:rsid w:val="006D4E95"/>
    <w:rsid w:val="006E55F2"/>
    <w:rsid w:val="00734BC6"/>
    <w:rsid w:val="007605B9"/>
    <w:rsid w:val="00794461"/>
    <w:rsid w:val="007B6B30"/>
    <w:rsid w:val="007C0509"/>
    <w:rsid w:val="007C6894"/>
    <w:rsid w:val="007F0C78"/>
    <w:rsid w:val="00832822"/>
    <w:rsid w:val="0085519A"/>
    <w:rsid w:val="008D0FE3"/>
    <w:rsid w:val="008D5CA6"/>
    <w:rsid w:val="009068CF"/>
    <w:rsid w:val="00923BEE"/>
    <w:rsid w:val="009B29DD"/>
    <w:rsid w:val="009F59F2"/>
    <w:rsid w:val="009F76A6"/>
    <w:rsid w:val="00A54730"/>
    <w:rsid w:val="00A623FD"/>
    <w:rsid w:val="00A6519B"/>
    <w:rsid w:val="00B372FB"/>
    <w:rsid w:val="00B80889"/>
    <w:rsid w:val="00B90C60"/>
    <w:rsid w:val="00BF40B1"/>
    <w:rsid w:val="00BF6F3A"/>
    <w:rsid w:val="00C26BD7"/>
    <w:rsid w:val="00C27221"/>
    <w:rsid w:val="00C35A0C"/>
    <w:rsid w:val="00C52C23"/>
    <w:rsid w:val="00C9401C"/>
    <w:rsid w:val="00CA16E8"/>
    <w:rsid w:val="00CF187E"/>
    <w:rsid w:val="00D06C02"/>
    <w:rsid w:val="00D427B9"/>
    <w:rsid w:val="00DE4795"/>
    <w:rsid w:val="00DF1AD6"/>
    <w:rsid w:val="00E00B3D"/>
    <w:rsid w:val="00E14194"/>
    <w:rsid w:val="00F87303"/>
    <w:rsid w:val="00FA0EFA"/>
    <w:rsid w:val="00FB1FE0"/>
    <w:rsid w:val="00FF72F1"/>
  </w:rsids>
  <m:mathPr>
    <m:mathFont m:val="Trebuchet MS"/>
    <m:brkBin m:val="before"/>
    <m:brkBinSub m:val="--"/>
    <m:smallFrac m:val="off"/>
    <m:dispDef m:val="off"/>
    <m:lMargin m:val="0"/>
    <m:rMargin m:val="0"/>
    <m:wrapRight/>
    <m:intLim m:val="subSup"/>
    <m:naryLim m:val="subSup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4"/>
        <w:szCs w:val="24"/>
        <w:lang w:val="fr-FR" w:eastAsia="fr-FR" w:bidi="ar-SA"/>
      </w:rPr>
    </w:rPrDefault>
    <w:pPrDefault/>
  </w:docDefaults>
  <w:latentStyles w:defLockedState="0" w:defUIPriority="0" w:defSemiHidden="0" w:defUnhideWhenUsed="0" w:defQFormat="0" w:count="276"/>
  <w:style w:type="paragraph" w:default="1" w:styleId="Normal">
    <w:name w:val="Normal"/>
    <w:rsid w:val="00250979"/>
    <w:pPr>
      <w:suppressAutoHyphens/>
      <w:overflowPunct w:val="0"/>
      <w:jc w:val="both"/>
    </w:pPr>
    <w:rPr>
      <w:rFonts w:ascii="Times New Roman" w:eastAsia="Arial" w:hAnsi="Times New Roman" w:cs="Courier New"/>
      <w:color w:val="00000A"/>
      <w:lang w:val="pt-BR" w:eastAsia="zh-CN" w:bidi="hi-IN"/>
    </w:rPr>
  </w:style>
  <w:style w:type="character" w:default="1" w:styleId="Policepardfaut">
    <w:name w:val="Default Paragraph Font"/>
    <w:semiHidden/>
    <w:unhideWhenUsed/>
  </w:style>
  <w:style w:type="table" w:default="1" w:styleId="TableauNormal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semiHidden/>
    <w:unhideWhenUsed/>
  </w:style>
  <w:style w:type="paragraph" w:customStyle="1" w:styleId="Heading1">
    <w:name w:val="Heading 1"/>
    <w:basedOn w:val="Normal"/>
    <w:rsid w:val="00250979"/>
    <w:pPr>
      <w:keepNext/>
      <w:spacing w:before="240" w:after="120"/>
      <w:jc w:val="left"/>
    </w:pPr>
    <w:rPr>
      <w:b/>
      <w:sz w:val="40"/>
    </w:rPr>
  </w:style>
  <w:style w:type="paragraph" w:customStyle="1" w:styleId="Heading2">
    <w:name w:val="Heading 2"/>
    <w:basedOn w:val="Normal"/>
    <w:rsid w:val="00250979"/>
    <w:pPr>
      <w:keepNext/>
      <w:suppressAutoHyphens w:val="0"/>
      <w:spacing w:before="482" w:after="119"/>
      <w:jc w:val="left"/>
    </w:pPr>
    <w:rPr>
      <w:b/>
      <w:sz w:val="26"/>
    </w:rPr>
  </w:style>
  <w:style w:type="paragraph" w:customStyle="1" w:styleId="Heading3">
    <w:name w:val="Heading 3"/>
    <w:basedOn w:val="Normal"/>
    <w:rsid w:val="00250979"/>
    <w:pPr>
      <w:keepNext/>
      <w:suppressAutoHyphens w:val="0"/>
      <w:spacing w:before="238" w:after="119"/>
      <w:jc w:val="left"/>
    </w:pPr>
    <w:rPr>
      <w:b/>
      <w:sz w:val="26"/>
    </w:rPr>
  </w:style>
  <w:style w:type="paragraph" w:customStyle="1" w:styleId="Heading4">
    <w:name w:val="Heading 4"/>
    <w:basedOn w:val="Normal"/>
    <w:rsid w:val="00250979"/>
    <w:pPr>
      <w:keepNext/>
      <w:spacing w:before="240" w:after="120"/>
      <w:jc w:val="left"/>
    </w:pPr>
    <w:rPr>
      <w:b/>
    </w:rPr>
  </w:style>
  <w:style w:type="paragraph" w:customStyle="1" w:styleId="Heading5">
    <w:name w:val="Heading 5"/>
    <w:basedOn w:val="Normal"/>
    <w:rsid w:val="00250979"/>
    <w:pPr>
      <w:keepNext/>
      <w:spacing w:before="240" w:after="120"/>
      <w:jc w:val="left"/>
    </w:pPr>
    <w:rPr>
      <w:b/>
    </w:rPr>
  </w:style>
  <w:style w:type="paragraph" w:customStyle="1" w:styleId="Heading6">
    <w:name w:val="Heading 6"/>
    <w:basedOn w:val="Normal"/>
    <w:rsid w:val="00250979"/>
    <w:pPr>
      <w:keepNext/>
      <w:spacing w:before="240" w:after="120"/>
      <w:jc w:val="left"/>
    </w:pPr>
    <w:rPr>
      <w:b/>
    </w:rPr>
  </w:style>
  <w:style w:type="character" w:styleId="Marquedenotedefin">
    <w:name w:val="endnote reference"/>
    <w:basedOn w:val="Policepardfaut"/>
    <w:rsid w:val="00250979"/>
    <w:rPr>
      <w:vertAlign w:val="superscript"/>
    </w:rPr>
  </w:style>
  <w:style w:type="character" w:customStyle="1" w:styleId="FootnoteAnchor">
    <w:name w:val="Footnote Anchor"/>
    <w:rsid w:val="00250979"/>
    <w:rPr>
      <w:vertAlign w:val="superscript"/>
    </w:rPr>
  </w:style>
  <w:style w:type="character" w:customStyle="1" w:styleId="InternetLink">
    <w:name w:val="Internet Link"/>
    <w:rsid w:val="00250979"/>
    <w:rPr>
      <w:color w:val="000080"/>
      <w:u w:val="single"/>
      <w:lang w:val="uz-Cyrl-UZ" w:eastAsia="uz-Cyrl-UZ" w:bidi="uz-Cyrl-UZ"/>
    </w:rPr>
  </w:style>
  <w:style w:type="character" w:customStyle="1" w:styleId="Abstracttitle">
    <w:name w:val="Abstract title"/>
    <w:rsid w:val="00250979"/>
    <w:rPr>
      <w:b/>
      <w:i/>
    </w:rPr>
  </w:style>
  <w:style w:type="character" w:customStyle="1" w:styleId="Abstracttext">
    <w:name w:val="Abstract text"/>
    <w:basedOn w:val="Abstracttitle"/>
    <w:rsid w:val="00250979"/>
    <w:rPr>
      <w:b w:val="0"/>
    </w:rPr>
  </w:style>
  <w:style w:type="character" w:customStyle="1" w:styleId="EndnoteAnchor">
    <w:name w:val="Endnote Anchor"/>
    <w:rsid w:val="00250979"/>
    <w:rPr>
      <w:vertAlign w:val="superscript"/>
    </w:rPr>
  </w:style>
  <w:style w:type="character" w:customStyle="1" w:styleId="FootnoteCharacters">
    <w:name w:val="Footnote Characters"/>
    <w:rsid w:val="00250979"/>
  </w:style>
  <w:style w:type="character" w:customStyle="1" w:styleId="EndnoteCharacters">
    <w:name w:val="Endnote Characters"/>
    <w:rsid w:val="00250979"/>
  </w:style>
  <w:style w:type="paragraph" w:customStyle="1" w:styleId="Heading">
    <w:name w:val="Heading"/>
    <w:basedOn w:val="Normal"/>
    <w:next w:val="TextBody"/>
    <w:rsid w:val="00250979"/>
    <w:pPr>
      <w:keepNext/>
      <w:spacing w:before="240" w:after="120"/>
    </w:pPr>
    <w:rPr>
      <w:rFonts w:ascii="Arial" w:eastAsia="Arial Unicode MS" w:hAnsi="Arial" w:cs="Arial Unicode MS"/>
      <w:sz w:val="28"/>
      <w:szCs w:val="28"/>
    </w:rPr>
  </w:style>
  <w:style w:type="paragraph" w:customStyle="1" w:styleId="TextBody">
    <w:name w:val="Text Body"/>
    <w:basedOn w:val="Normal"/>
    <w:rsid w:val="00250979"/>
    <w:pPr>
      <w:keepNext/>
      <w:tabs>
        <w:tab w:val="left" w:pos="283"/>
      </w:tabs>
      <w:suppressAutoHyphens w:val="0"/>
      <w:spacing w:after="120"/>
    </w:pPr>
  </w:style>
  <w:style w:type="paragraph" w:styleId="Liste">
    <w:name w:val="List"/>
    <w:basedOn w:val="Normal"/>
    <w:rsid w:val="00250979"/>
    <w:pPr>
      <w:tabs>
        <w:tab w:val="left" w:pos="283"/>
      </w:tabs>
      <w:spacing w:after="120"/>
      <w:ind w:left="283" w:hanging="283"/>
      <w:jc w:val="left"/>
    </w:pPr>
    <w:rPr>
      <w:sz w:val="20"/>
    </w:rPr>
  </w:style>
  <w:style w:type="paragraph" w:customStyle="1" w:styleId="Caption">
    <w:name w:val="Caption"/>
    <w:basedOn w:val="Normal"/>
    <w:rsid w:val="00250979"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Normal"/>
    <w:rsid w:val="00250979"/>
    <w:pPr>
      <w:suppressLineNumbers/>
    </w:pPr>
  </w:style>
  <w:style w:type="paragraph" w:styleId="Titre">
    <w:name w:val="Title"/>
    <w:basedOn w:val="Normal"/>
    <w:rsid w:val="00250979"/>
    <w:pPr>
      <w:spacing w:before="240" w:after="240"/>
      <w:jc w:val="center"/>
    </w:pPr>
    <w:rPr>
      <w:b/>
      <w:bCs/>
      <w:sz w:val="32"/>
      <w:szCs w:val="36"/>
    </w:rPr>
  </w:style>
  <w:style w:type="paragraph" w:customStyle="1" w:styleId="Footer">
    <w:name w:val="Footer"/>
    <w:basedOn w:val="Normal"/>
    <w:rsid w:val="00250979"/>
    <w:pPr>
      <w:suppressLineNumbers/>
      <w:tabs>
        <w:tab w:val="center" w:pos="4536"/>
        <w:tab w:val="right" w:pos="9072"/>
      </w:tabs>
      <w:jc w:val="left"/>
    </w:pPr>
    <w:rPr>
      <w:sz w:val="20"/>
    </w:rPr>
  </w:style>
  <w:style w:type="paragraph" w:customStyle="1" w:styleId="Header">
    <w:name w:val="Header"/>
    <w:basedOn w:val="Normal"/>
    <w:rsid w:val="00250979"/>
    <w:pPr>
      <w:suppressLineNumbers/>
      <w:tabs>
        <w:tab w:val="center" w:pos="4536"/>
        <w:tab w:val="right" w:pos="9072"/>
      </w:tabs>
      <w:jc w:val="left"/>
    </w:pPr>
    <w:rPr>
      <w:sz w:val="20"/>
    </w:rPr>
  </w:style>
  <w:style w:type="paragraph" w:customStyle="1" w:styleId="Table">
    <w:name w:val="Table"/>
    <w:basedOn w:val="Normal"/>
    <w:rsid w:val="00250979"/>
    <w:pPr>
      <w:keepLines/>
      <w:spacing w:before="120"/>
      <w:jc w:val="center"/>
    </w:pPr>
    <w:rPr>
      <w:sz w:val="20"/>
    </w:rPr>
  </w:style>
  <w:style w:type="paragraph" w:customStyle="1" w:styleId="List1">
    <w:name w:val="List 1"/>
    <w:basedOn w:val="Normal"/>
    <w:rsid w:val="00250979"/>
    <w:pPr>
      <w:tabs>
        <w:tab w:val="left" w:pos="283"/>
      </w:tabs>
      <w:spacing w:after="120"/>
      <w:ind w:left="283" w:hanging="283"/>
      <w:jc w:val="left"/>
    </w:pPr>
    <w:rPr>
      <w:sz w:val="20"/>
    </w:rPr>
  </w:style>
  <w:style w:type="paragraph" w:customStyle="1" w:styleId="Contents1">
    <w:name w:val="Contents 1"/>
    <w:basedOn w:val="Normal"/>
    <w:rsid w:val="00250979"/>
    <w:pPr>
      <w:keepNext/>
      <w:tabs>
        <w:tab w:val="right" w:leader="dot" w:pos="8222"/>
      </w:tabs>
      <w:spacing w:before="240" w:after="60"/>
      <w:ind w:left="425"/>
      <w:jc w:val="left"/>
    </w:pPr>
    <w:rPr>
      <w:b/>
    </w:rPr>
  </w:style>
  <w:style w:type="paragraph" w:customStyle="1" w:styleId="Contents2">
    <w:name w:val="Contents 2"/>
    <w:basedOn w:val="Normal"/>
    <w:rsid w:val="00250979"/>
    <w:pPr>
      <w:keepNext/>
      <w:tabs>
        <w:tab w:val="right" w:leader="dot" w:pos="8222"/>
      </w:tabs>
      <w:spacing w:before="60" w:after="60"/>
      <w:ind w:left="512"/>
      <w:jc w:val="left"/>
    </w:pPr>
  </w:style>
  <w:style w:type="paragraph" w:customStyle="1" w:styleId="Contents3">
    <w:name w:val="Contents 3"/>
    <w:basedOn w:val="Normal"/>
    <w:rsid w:val="00250979"/>
    <w:pPr>
      <w:keepNext/>
      <w:tabs>
        <w:tab w:val="right" w:leader="dot" w:pos="8222"/>
      </w:tabs>
      <w:spacing w:before="60" w:after="60"/>
      <w:ind w:left="1024"/>
      <w:jc w:val="left"/>
    </w:pPr>
  </w:style>
  <w:style w:type="paragraph" w:customStyle="1" w:styleId="Contents4">
    <w:name w:val="Contents 4"/>
    <w:basedOn w:val="Normal"/>
    <w:rsid w:val="00250979"/>
    <w:pPr>
      <w:keepNext/>
      <w:tabs>
        <w:tab w:val="right" w:leader="dot" w:pos="8222"/>
      </w:tabs>
      <w:spacing w:before="60" w:after="60"/>
      <w:ind w:left="1536"/>
      <w:jc w:val="left"/>
    </w:pPr>
  </w:style>
  <w:style w:type="paragraph" w:customStyle="1" w:styleId="Contents5">
    <w:name w:val="Contents 5"/>
    <w:basedOn w:val="Normal"/>
    <w:rsid w:val="00250979"/>
    <w:pPr>
      <w:keepNext/>
      <w:tabs>
        <w:tab w:val="right" w:leader="dot" w:pos="8222"/>
      </w:tabs>
      <w:spacing w:before="60" w:after="60"/>
      <w:ind w:left="2048"/>
      <w:jc w:val="left"/>
    </w:pPr>
  </w:style>
  <w:style w:type="paragraph" w:customStyle="1" w:styleId="Contents6">
    <w:name w:val="Contents 6"/>
    <w:basedOn w:val="Normal"/>
    <w:rsid w:val="00250979"/>
    <w:pPr>
      <w:keepNext/>
      <w:tabs>
        <w:tab w:val="right" w:leader="dot" w:pos="8222"/>
      </w:tabs>
      <w:spacing w:before="60" w:after="60"/>
      <w:ind w:left="2560"/>
      <w:jc w:val="left"/>
    </w:pPr>
  </w:style>
  <w:style w:type="paragraph" w:customStyle="1" w:styleId="Footnote">
    <w:name w:val="Footnote"/>
    <w:basedOn w:val="Normal"/>
    <w:rsid w:val="00250979"/>
    <w:pPr>
      <w:suppressLineNumbers/>
      <w:ind w:left="339" w:hanging="339"/>
    </w:pPr>
    <w:rPr>
      <w:sz w:val="20"/>
      <w:szCs w:val="20"/>
    </w:rPr>
  </w:style>
  <w:style w:type="paragraph" w:customStyle="1" w:styleId="Addressee">
    <w:name w:val="Addressee"/>
    <w:basedOn w:val="Normal"/>
    <w:rsid w:val="00250979"/>
    <w:pPr>
      <w:suppressLineNumbers/>
      <w:spacing w:after="60"/>
      <w:jc w:val="center"/>
    </w:pPr>
  </w:style>
  <w:style w:type="paragraph" w:styleId="Sous-titre">
    <w:name w:val="Subtitle"/>
    <w:basedOn w:val="Heading"/>
    <w:rsid w:val="00250979"/>
    <w:pPr>
      <w:jc w:val="center"/>
    </w:pPr>
    <w:rPr>
      <w:i/>
      <w:iCs/>
    </w:rPr>
  </w:style>
  <w:style w:type="paragraph" w:customStyle="1" w:styleId="FirstLineIndent">
    <w:name w:val="First Line Indent"/>
    <w:basedOn w:val="TextBody"/>
    <w:rsid w:val="00250979"/>
    <w:pPr>
      <w:spacing w:after="62"/>
    </w:pPr>
  </w:style>
  <w:style w:type="paragraph" w:customStyle="1" w:styleId="Quotations">
    <w:name w:val="Quotations"/>
    <w:basedOn w:val="Normal"/>
    <w:rsid w:val="00250979"/>
    <w:pPr>
      <w:spacing w:after="283"/>
      <w:ind w:left="567" w:right="567"/>
    </w:pPr>
  </w:style>
  <w:style w:type="paragraph" w:customStyle="1" w:styleId="Drawing">
    <w:name w:val="Drawing"/>
    <w:basedOn w:val="Caption"/>
    <w:rsid w:val="00250979"/>
    <w:pPr>
      <w:jc w:val="center"/>
    </w:pPr>
    <w:rPr>
      <w:b/>
      <w:i w:val="0"/>
    </w:rPr>
  </w:style>
  <w:style w:type="paragraph" w:customStyle="1" w:styleId="Illustration">
    <w:name w:val="Illustration"/>
    <w:basedOn w:val="Caption"/>
    <w:rsid w:val="00250979"/>
  </w:style>
  <w:style w:type="paragraph" w:customStyle="1" w:styleId="TeMA">
    <w:name w:val="TeMA"/>
    <w:rsid w:val="00250979"/>
    <w:pPr>
      <w:widowControl w:val="0"/>
      <w:suppressAutoHyphens/>
      <w:overflowPunct w:val="0"/>
      <w:spacing w:before="2268"/>
    </w:pPr>
    <w:rPr>
      <w:rFonts w:ascii="Times New Roman" w:eastAsia="Arial Unicode MS" w:hAnsi="Times New Roman" w:cs="Arial Unicode MS"/>
      <w:color w:val="00000A"/>
      <w:lang w:val="pt-BR" w:eastAsia="zh-CN" w:bidi="hi-IN"/>
    </w:rPr>
  </w:style>
  <w:style w:type="paragraph" w:customStyle="1" w:styleId="TeMAttulo">
    <w:name w:val="TeMA.título"/>
    <w:basedOn w:val="TeMA"/>
    <w:rsid w:val="00250979"/>
    <w:pPr>
      <w:spacing w:before="720"/>
      <w:jc w:val="center"/>
    </w:pPr>
    <w:rPr>
      <w:b/>
      <w:sz w:val="32"/>
    </w:rPr>
  </w:style>
  <w:style w:type="paragraph" w:customStyle="1" w:styleId="TeMAautor">
    <w:name w:val="TeMA.autor"/>
    <w:basedOn w:val="Normal"/>
    <w:rsid w:val="00250979"/>
    <w:pPr>
      <w:spacing w:before="238" w:after="238"/>
      <w:jc w:val="center"/>
    </w:pPr>
    <w:rPr>
      <w:b/>
    </w:rPr>
  </w:style>
  <w:style w:type="paragraph" w:customStyle="1" w:styleId="TeMAendereo">
    <w:name w:val="TeMA.endereço"/>
    <w:basedOn w:val="Addressee"/>
    <w:rsid w:val="00250979"/>
  </w:style>
  <w:style w:type="paragraph" w:customStyle="1" w:styleId="TeMAemail">
    <w:name w:val="TeMA.email"/>
    <w:basedOn w:val="Normal"/>
    <w:rsid w:val="00250979"/>
    <w:pPr>
      <w:shd w:val="clear" w:color="auto" w:fill="FFFFFF"/>
      <w:spacing w:before="238" w:after="238"/>
      <w:jc w:val="center"/>
    </w:pPr>
    <w:rPr>
      <w:rFonts w:ascii="Courier" w:hAnsi="Courier"/>
      <w:color w:val="000000"/>
      <w:sz w:val="20"/>
    </w:rPr>
  </w:style>
  <w:style w:type="paragraph" w:customStyle="1" w:styleId="TeMAabstract">
    <w:name w:val="TeMA.abstract"/>
    <w:basedOn w:val="Normal"/>
    <w:rsid w:val="00250979"/>
    <w:pPr>
      <w:ind w:left="454" w:right="454"/>
    </w:pPr>
    <w:rPr>
      <w:i/>
    </w:rPr>
  </w:style>
  <w:style w:type="paragraph" w:customStyle="1" w:styleId="TeMAseo">
    <w:name w:val="TeMA.seção"/>
    <w:basedOn w:val="Heading2"/>
    <w:rsid w:val="00250979"/>
  </w:style>
  <w:style w:type="paragraph" w:customStyle="1" w:styleId="TeMAcorpoTexto">
    <w:name w:val="TeMA.corpoTexto"/>
    <w:basedOn w:val="TextBody"/>
    <w:rsid w:val="00250979"/>
    <w:pPr>
      <w:shd w:val="clear" w:color="auto" w:fill="FFFFFF"/>
    </w:pPr>
  </w:style>
  <w:style w:type="paragraph" w:customStyle="1" w:styleId="TeMAsubseo">
    <w:name w:val="TeMA.subseção"/>
    <w:basedOn w:val="Heading2"/>
    <w:rsid w:val="00250979"/>
    <w:pPr>
      <w:shd w:val="clear" w:color="auto" w:fill="FFFFFF"/>
      <w:spacing w:before="238"/>
    </w:pPr>
  </w:style>
  <w:style w:type="paragraph" w:customStyle="1" w:styleId="TeMAlegenda">
    <w:name w:val="TeMA.legenda"/>
    <w:basedOn w:val="Drawing"/>
    <w:autoRedefine/>
    <w:rsid w:val="004950A6"/>
    <w:pPr>
      <w:ind w:left="454" w:right="454"/>
      <w:jc w:val="both"/>
    </w:pPr>
    <w:rPr>
      <w:rFonts w:ascii="Helvetica" w:hAnsi="Helvetica"/>
      <w:sz w:val="20"/>
    </w:rPr>
  </w:style>
  <w:style w:type="paragraph" w:customStyle="1" w:styleId="TeMAreferncias">
    <w:name w:val="TeMA.referências"/>
    <w:basedOn w:val="TextBody"/>
    <w:rsid w:val="00250979"/>
    <w:pPr>
      <w:spacing w:after="0"/>
      <w:ind w:left="425" w:hanging="425"/>
    </w:pPr>
  </w:style>
  <w:style w:type="paragraph" w:styleId="Notedebasdepage">
    <w:name w:val="footnote text"/>
    <w:basedOn w:val="Normal"/>
    <w:link w:val="NotedebasdepageCar"/>
    <w:rsid w:val="000134C5"/>
  </w:style>
  <w:style w:type="character" w:customStyle="1" w:styleId="NotedebasdepageCar">
    <w:name w:val="Note de bas de page Car"/>
    <w:basedOn w:val="Policepardfaut"/>
    <w:link w:val="Notedebasdepage"/>
    <w:rsid w:val="000134C5"/>
    <w:rPr>
      <w:rFonts w:ascii="Times New Roman" w:eastAsia="Arial" w:hAnsi="Times New Roman" w:cs="Courier New"/>
      <w:color w:val="00000A"/>
      <w:lang w:val="pt-BR" w:eastAsia="zh-CN" w:bidi="hi-IN"/>
    </w:rPr>
  </w:style>
  <w:style w:type="character" w:styleId="Marquenotebasdepage">
    <w:name w:val="footnote reference"/>
    <w:basedOn w:val="Policepardfaut"/>
    <w:rsid w:val="000134C5"/>
    <w:rPr>
      <w:vertAlign w:val="superscript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4" Type="http://schemas.openxmlformats.org/officeDocument/2006/relationships/footnotes" Target="footnotes.xml"/><Relationship Id="rId5" Type="http://schemas.openxmlformats.org/officeDocument/2006/relationships/image" Target="media/image1.jpeg"/><Relationship Id="rId6" Type="http://schemas.openxmlformats.org/officeDocument/2006/relationships/image" Target="media/image2.jpeg"/><Relationship Id="rId7" Type="http://schemas.openxmlformats.org/officeDocument/2006/relationships/image" Target="media/image3.jpeg"/><Relationship Id="rId8" Type="http://schemas.openxmlformats.org/officeDocument/2006/relationships/image" Target="media/image4.jpeg"/><Relationship Id="rId9" Type="http://schemas.openxmlformats.org/officeDocument/2006/relationships/image" Target="media/image5.jpeg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8</Pages>
  <Words>2231</Words>
  <Characters>12719</Characters>
  <Application>Microsoft Word 12.1.0</Application>
  <DocSecurity>0</DocSecurity>
  <Lines>105</Lines>
  <Paragraphs>25</Paragraphs>
  <ScaleCrop>false</ScaleCrop>
  <Company>MUS3-CNPQ</Company>
  <LinksUpToDate>false</LinksUpToDate>
  <CharactersWithSpaces>15619</CharactersWithSpaces>
  <SharedDoc>false</SharedDoc>
  <HyperlinksChanged>false</HyperlinksChanged>
  <AppVersion>12.0256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TemplateTeMA</dc:title>
  <dc:subject>Template de artigos da Associação Brasileira de Teoria e Análise Musical</dc:subject>
  <dc:creator>Marcos Sampaio</dc:creator>
  <cp:keywords/>
  <cp:lastModifiedBy>Didier Guigue</cp:lastModifiedBy>
  <cp:revision>8</cp:revision>
  <dcterms:created xsi:type="dcterms:W3CDTF">2014-10-03T13:15:00Z</dcterms:created>
  <dcterms:modified xsi:type="dcterms:W3CDTF">2014-10-09T01:40:00Z</dcterms:modified>
</cp:coreProperties>
</file>